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7"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Default="006D4CCC" w:rsidP="006D4CCC">
      <w:pPr>
        <w:jc w:val="center"/>
        <w:rPr>
          <w:rFonts w:cstheme="minorHAnsi"/>
          <w:b/>
          <w:u w:val="single"/>
        </w:rPr>
      </w:pPr>
    </w:p>
    <w:p w:rsidR="00E246A9" w:rsidRDefault="006D4CCC" w:rsidP="00E246A9">
      <w:pPr>
        <w:jc w:val="center"/>
        <w:rPr>
          <w:rFonts w:cstheme="minorHAnsi"/>
          <w:b/>
          <w:u w:val="single"/>
        </w:rPr>
      </w:pPr>
      <w:r w:rsidRPr="00902B0E">
        <w:rPr>
          <w:rFonts w:cstheme="minorHAnsi"/>
          <w:b/>
          <w:u w:val="single"/>
        </w:rPr>
        <w:t>Sélection du centre de ressources de l’Injep pour Injep Veille &amp; Actus :</w:t>
      </w:r>
      <w:r w:rsidR="00E246A9">
        <w:rPr>
          <w:rFonts w:cstheme="minorHAnsi"/>
          <w:b/>
          <w:u w:val="single"/>
        </w:rPr>
        <w:t xml:space="preserve"> </w:t>
      </w:r>
      <w:r w:rsidR="00FB1357">
        <w:rPr>
          <w:rFonts w:cstheme="minorHAnsi"/>
          <w:b/>
          <w:u w:val="single"/>
        </w:rPr>
        <w:t>Mineurs privés temporairement ou définitivement de la protection de leur famille</w:t>
      </w:r>
    </w:p>
    <w:p w:rsidR="00712567" w:rsidRDefault="00712567" w:rsidP="00F82C45">
      <w:pPr>
        <w:jc w:val="both"/>
        <w:rPr>
          <w:rStyle w:val="lev"/>
        </w:rPr>
      </w:pPr>
    </w:p>
    <w:p w:rsidR="00D25811" w:rsidRDefault="00E57674" w:rsidP="00F82C45">
      <w:pPr>
        <w:jc w:val="both"/>
        <w:rPr>
          <w:rStyle w:val="lev"/>
        </w:rPr>
      </w:pPr>
      <w:hyperlink r:id="rId8" w:history="1">
        <w:r w:rsidRPr="00E57674">
          <w:rPr>
            <w:rStyle w:val="Lienhypertexte"/>
          </w:rPr>
          <w:t>Arrêté du 20 novembre 2019</w:t>
        </w:r>
      </w:hyperlink>
      <w:r>
        <w:rPr>
          <w:rStyle w:val="lev"/>
        </w:rPr>
        <w:t xml:space="preserve"> pris en application de l'article R. 221-11 du code de l'action sociale et des familles relatif aux modalités de l'évaluation des personnes se présentant comme mineures et privées temporairement ou définitivement de la protection de leur famille</w:t>
      </w:r>
    </w:p>
    <w:p w:rsidR="00E57674" w:rsidRDefault="00E57674" w:rsidP="00D25811">
      <w:pPr>
        <w:rPr>
          <w:rStyle w:val="lev"/>
          <w:b w:val="0"/>
        </w:rPr>
      </w:pPr>
      <w:r w:rsidRPr="00E57674">
        <w:rPr>
          <w:rStyle w:val="lev"/>
          <w:b w:val="0"/>
        </w:rPr>
        <w:t>Journal officiel du 24 novembre 2019</w:t>
      </w:r>
    </w:p>
    <w:p w:rsidR="00E57674" w:rsidRPr="00E57674" w:rsidRDefault="00E57674" w:rsidP="00E57674">
      <w:pPr>
        <w:pStyle w:val="NormalWeb"/>
        <w:rPr>
          <w:rFonts w:asciiTheme="minorHAnsi" w:hAnsiTheme="minorHAnsi" w:cstheme="minorHAnsi"/>
          <w:sz w:val="22"/>
          <w:szCs w:val="22"/>
        </w:rPr>
      </w:pPr>
      <w:r w:rsidRPr="00E57674">
        <w:rPr>
          <w:rFonts w:asciiTheme="minorHAnsi" w:hAnsiTheme="minorHAnsi" w:cstheme="minorHAnsi"/>
          <w:sz w:val="22"/>
          <w:szCs w:val="22"/>
        </w:rPr>
        <w:t>Le présent arrêté a pour objet de :</w:t>
      </w:r>
    </w:p>
    <w:p w:rsidR="00E57674" w:rsidRDefault="00E57674" w:rsidP="00E57674">
      <w:pPr>
        <w:pStyle w:val="NormalWeb"/>
        <w:rPr>
          <w:rFonts w:asciiTheme="minorHAnsi" w:hAnsiTheme="minorHAnsi" w:cstheme="minorHAnsi"/>
          <w:sz w:val="22"/>
          <w:szCs w:val="22"/>
        </w:rPr>
      </w:pPr>
      <w:r w:rsidRPr="00E57674">
        <w:rPr>
          <w:rFonts w:asciiTheme="minorHAnsi" w:hAnsiTheme="minorHAnsi" w:cstheme="minorHAnsi"/>
          <w:sz w:val="22"/>
          <w:szCs w:val="22"/>
        </w:rPr>
        <w:t xml:space="preserve">- fixer les modalités de l'évaluation de la minorité et de l'isolement familial des personnes se déclarant mineures et privées temporairement ou définitivement de la protection de leur famille en application des </w:t>
      </w:r>
      <w:hyperlink r:id="rId9" w:history="1">
        <w:r w:rsidRPr="00E57674">
          <w:rPr>
            <w:rStyle w:val="Lienhypertexte"/>
            <w:rFonts w:asciiTheme="minorHAnsi" w:hAnsiTheme="minorHAnsi" w:cstheme="minorHAnsi"/>
            <w:sz w:val="22"/>
            <w:szCs w:val="22"/>
          </w:rPr>
          <w:t>dispositions de l'article R. 221-11 du code de l'action sociale et des familles</w:t>
        </w:r>
      </w:hyperlink>
      <w:r w:rsidRPr="00E57674">
        <w:rPr>
          <w:rFonts w:asciiTheme="minorHAnsi" w:hAnsiTheme="minorHAnsi" w:cstheme="minorHAnsi"/>
          <w:sz w:val="22"/>
          <w:szCs w:val="22"/>
        </w:rPr>
        <w:t xml:space="preserve"> ;</w:t>
      </w:r>
      <w:r w:rsidRPr="00E57674">
        <w:rPr>
          <w:rFonts w:asciiTheme="minorHAnsi" w:hAnsiTheme="minorHAnsi" w:cstheme="minorHAnsi"/>
          <w:sz w:val="22"/>
          <w:szCs w:val="22"/>
        </w:rPr>
        <w:br/>
        <w:t>- définir, conformément au II de ce même article, les conditions de formation et d'expérience requises des professionnels intervenant dans l'évaluation.</w:t>
      </w:r>
    </w:p>
    <w:p w:rsidR="00E57674" w:rsidRPr="00E57674" w:rsidRDefault="00CA2D3C" w:rsidP="00F82C45">
      <w:pPr>
        <w:pStyle w:val="NormalWeb"/>
        <w:jc w:val="both"/>
        <w:rPr>
          <w:rFonts w:asciiTheme="minorHAnsi" w:hAnsiTheme="minorHAnsi" w:cstheme="minorHAnsi"/>
          <w:sz w:val="22"/>
          <w:szCs w:val="22"/>
        </w:rPr>
      </w:pPr>
      <w:r>
        <w:rPr>
          <w:rStyle w:val="lev"/>
          <w:rFonts w:asciiTheme="minorHAnsi" w:hAnsiTheme="minorHAnsi" w:cstheme="minorHAnsi"/>
          <w:sz w:val="22"/>
          <w:szCs w:val="22"/>
        </w:rPr>
        <w:br/>
      </w:r>
      <w:hyperlink r:id="rId10" w:history="1">
        <w:r w:rsidR="00E57674" w:rsidRPr="00E57674">
          <w:rPr>
            <w:rStyle w:val="Lienhypertexte"/>
            <w:rFonts w:asciiTheme="minorHAnsi" w:hAnsiTheme="minorHAnsi" w:cstheme="minorHAnsi"/>
            <w:sz w:val="22"/>
            <w:szCs w:val="22"/>
          </w:rPr>
          <w:t>Décret n° 2019-1410 du 19 décembre 2019</w:t>
        </w:r>
      </w:hyperlink>
      <w:r w:rsidR="00E57674" w:rsidRPr="00E57674">
        <w:rPr>
          <w:rStyle w:val="lev"/>
          <w:rFonts w:asciiTheme="minorHAnsi" w:hAnsiTheme="minorHAnsi" w:cstheme="minorHAnsi"/>
          <w:sz w:val="22"/>
          <w:szCs w:val="22"/>
        </w:rPr>
        <w:t xml:space="preserve"> relatif au calcul de la clé de répartition entre les départements des mineurs privés temporairement ou définitivement de la protection de leur famille</w:t>
      </w:r>
    </w:p>
    <w:p w:rsidR="00E57674" w:rsidRPr="00E57674" w:rsidRDefault="00E57674" w:rsidP="00E57674">
      <w:pPr>
        <w:pStyle w:val="NormalWeb"/>
        <w:rPr>
          <w:rFonts w:asciiTheme="minorHAnsi" w:hAnsiTheme="minorHAnsi" w:cstheme="minorHAnsi"/>
          <w:sz w:val="22"/>
          <w:szCs w:val="22"/>
        </w:rPr>
      </w:pPr>
      <w:r>
        <w:rPr>
          <w:rFonts w:asciiTheme="minorHAnsi" w:hAnsiTheme="minorHAnsi" w:cstheme="minorHAnsi"/>
          <w:sz w:val="22"/>
          <w:szCs w:val="22"/>
        </w:rPr>
        <w:t>Journal officiel du 21 décembre 2019</w:t>
      </w:r>
    </w:p>
    <w:p w:rsidR="00E57674" w:rsidRDefault="00E57674" w:rsidP="00F82C45">
      <w:pPr>
        <w:jc w:val="both"/>
      </w:pPr>
      <w:r>
        <w:t>C</w:t>
      </w:r>
      <w:r>
        <w:t>e décret modifie le critère démographique permettant le calcul de la clé de répartition des orientations des mineurs non accompagnés confiés par décision de justice aux départements.</w:t>
      </w:r>
      <w:r w:rsidR="00CA2D3C">
        <w:br/>
      </w:r>
    </w:p>
    <w:p w:rsidR="00CA2D3C" w:rsidRDefault="00CA2D3C" w:rsidP="00F82C45">
      <w:pPr>
        <w:jc w:val="both"/>
        <w:rPr>
          <w:rStyle w:val="lev"/>
        </w:rPr>
      </w:pPr>
      <w:hyperlink r:id="rId11" w:history="1">
        <w:r w:rsidRPr="00CA2D3C">
          <w:rPr>
            <w:rStyle w:val="Lienhypertexte"/>
          </w:rPr>
          <w:t>Arrêté du 19 décembre 2019</w:t>
        </w:r>
      </w:hyperlink>
      <w:r>
        <w:rPr>
          <w:rStyle w:val="lev"/>
        </w:rPr>
        <w:t xml:space="preserve"> pris en application de l'article R. 221-13 du code de l'action sociale et des familles et modifiant l'arrêté du 28 juin 2016 pris en application du décret n° 2016-840 du 24 juin 2016 relatif aux modalités de calcul de la clé de répartition des orientations des mineurs privés temporairement ou définitivement de la protection de leur famille</w:t>
      </w:r>
    </w:p>
    <w:p w:rsidR="00CA2D3C" w:rsidRDefault="00CA2D3C" w:rsidP="00D25811">
      <w:pPr>
        <w:rPr>
          <w:rStyle w:val="lev"/>
          <w:b w:val="0"/>
        </w:rPr>
      </w:pPr>
      <w:r>
        <w:rPr>
          <w:rStyle w:val="lev"/>
          <w:b w:val="0"/>
        </w:rPr>
        <w:t>Journal officiel du 21 décembre 2019</w:t>
      </w:r>
    </w:p>
    <w:p w:rsidR="00CA2D3C" w:rsidRDefault="00F82C45" w:rsidP="00F82C45">
      <w:pPr>
        <w:jc w:val="both"/>
        <w:rPr>
          <w:rStyle w:val="lev"/>
          <w:b w:val="0"/>
        </w:rPr>
      </w:pPr>
      <w:r>
        <w:t xml:space="preserve">Cet </w:t>
      </w:r>
      <w:r>
        <w:t>arrêté modifie le critère démographique permettant le calcul de la clé de répartition des orientations des mineurs non accompagnés confiés par décision judiciaire aux conseils départementaux.</w:t>
      </w:r>
    </w:p>
    <w:p w:rsidR="00CA2D3C" w:rsidRPr="00CA2D3C" w:rsidRDefault="00CA2D3C" w:rsidP="00D25811">
      <w:pPr>
        <w:rPr>
          <w:bCs/>
        </w:rPr>
      </w:pPr>
      <w:bookmarkStart w:id="0" w:name="_GoBack"/>
      <w:bookmarkEnd w:id="0"/>
    </w:p>
    <w:sectPr w:rsidR="00CA2D3C" w:rsidRPr="00CA2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1F6584"/>
    <w:rsid w:val="003671F0"/>
    <w:rsid w:val="00566B94"/>
    <w:rsid w:val="005A5CFE"/>
    <w:rsid w:val="006D4CCC"/>
    <w:rsid w:val="00712567"/>
    <w:rsid w:val="007A2895"/>
    <w:rsid w:val="008760B4"/>
    <w:rsid w:val="00956229"/>
    <w:rsid w:val="00BF56FB"/>
    <w:rsid w:val="00C55490"/>
    <w:rsid w:val="00CA2D3C"/>
    <w:rsid w:val="00D25811"/>
    <w:rsid w:val="00E1493A"/>
    <w:rsid w:val="00E246A9"/>
    <w:rsid w:val="00E57674"/>
    <w:rsid w:val="00EA52BA"/>
    <w:rsid w:val="00F61C23"/>
    <w:rsid w:val="00F82C45"/>
    <w:rsid w:val="00FB1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CC0C"/>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9631">
      <w:bodyDiv w:val="1"/>
      <w:marLeft w:val="0"/>
      <w:marRight w:val="0"/>
      <w:marTop w:val="0"/>
      <w:marBottom w:val="0"/>
      <w:divBdr>
        <w:top w:val="none" w:sz="0" w:space="0" w:color="auto"/>
        <w:left w:val="none" w:sz="0" w:space="0" w:color="auto"/>
        <w:bottom w:val="none" w:sz="0" w:space="0" w:color="auto"/>
        <w:right w:val="none" w:sz="0" w:space="0" w:color="auto"/>
      </w:divBdr>
      <w:divsChild>
        <w:div w:id="1545018654">
          <w:marLeft w:val="0"/>
          <w:marRight w:val="0"/>
          <w:marTop w:val="0"/>
          <w:marBottom w:val="0"/>
          <w:divBdr>
            <w:top w:val="none" w:sz="0" w:space="0" w:color="auto"/>
            <w:left w:val="none" w:sz="0" w:space="0" w:color="auto"/>
            <w:bottom w:val="none" w:sz="0" w:space="0" w:color="auto"/>
            <w:right w:val="none" w:sz="0" w:space="0" w:color="auto"/>
          </w:divBdr>
          <w:divsChild>
            <w:div w:id="159542686">
              <w:marLeft w:val="0"/>
              <w:marRight w:val="0"/>
              <w:marTop w:val="0"/>
              <w:marBottom w:val="0"/>
              <w:divBdr>
                <w:top w:val="none" w:sz="0" w:space="0" w:color="auto"/>
                <w:left w:val="none" w:sz="0" w:space="0" w:color="auto"/>
                <w:bottom w:val="none" w:sz="0" w:space="0" w:color="auto"/>
                <w:right w:val="none" w:sz="0" w:space="0" w:color="auto"/>
              </w:divBdr>
              <w:divsChild>
                <w:div w:id="42483123">
                  <w:marLeft w:val="0"/>
                  <w:marRight w:val="0"/>
                  <w:marTop w:val="0"/>
                  <w:marBottom w:val="0"/>
                  <w:divBdr>
                    <w:top w:val="none" w:sz="0" w:space="0" w:color="auto"/>
                    <w:left w:val="none" w:sz="0" w:space="0" w:color="auto"/>
                    <w:bottom w:val="none" w:sz="0" w:space="0" w:color="auto"/>
                    <w:right w:val="none" w:sz="0" w:space="0" w:color="auto"/>
                  </w:divBdr>
                  <w:divsChild>
                    <w:div w:id="1677463463">
                      <w:marLeft w:val="0"/>
                      <w:marRight w:val="0"/>
                      <w:marTop w:val="0"/>
                      <w:marBottom w:val="0"/>
                      <w:divBdr>
                        <w:top w:val="none" w:sz="0" w:space="0" w:color="auto"/>
                        <w:left w:val="none" w:sz="0" w:space="0" w:color="auto"/>
                        <w:bottom w:val="none" w:sz="0" w:space="0" w:color="auto"/>
                        <w:right w:val="none" w:sz="0" w:space="0" w:color="auto"/>
                      </w:divBdr>
                      <w:divsChild>
                        <w:div w:id="52579810">
                          <w:marLeft w:val="0"/>
                          <w:marRight w:val="0"/>
                          <w:marTop w:val="0"/>
                          <w:marBottom w:val="0"/>
                          <w:divBdr>
                            <w:top w:val="none" w:sz="0" w:space="0" w:color="auto"/>
                            <w:left w:val="none" w:sz="0" w:space="0" w:color="auto"/>
                            <w:bottom w:val="none" w:sz="0" w:space="0" w:color="auto"/>
                            <w:right w:val="none" w:sz="0" w:space="0" w:color="auto"/>
                          </w:divBdr>
                          <w:divsChild>
                            <w:div w:id="831524765">
                              <w:marLeft w:val="0"/>
                              <w:marRight w:val="0"/>
                              <w:marTop w:val="0"/>
                              <w:marBottom w:val="0"/>
                              <w:divBdr>
                                <w:top w:val="none" w:sz="0" w:space="0" w:color="auto"/>
                                <w:left w:val="none" w:sz="0" w:space="0" w:color="auto"/>
                                <w:bottom w:val="none" w:sz="0" w:space="0" w:color="auto"/>
                                <w:right w:val="none" w:sz="0" w:space="0" w:color="auto"/>
                              </w:divBdr>
                              <w:divsChild>
                                <w:div w:id="1492719736">
                                  <w:marLeft w:val="0"/>
                                  <w:marRight w:val="0"/>
                                  <w:marTop w:val="0"/>
                                  <w:marBottom w:val="0"/>
                                  <w:divBdr>
                                    <w:top w:val="none" w:sz="0" w:space="0" w:color="auto"/>
                                    <w:left w:val="none" w:sz="0" w:space="0" w:color="auto"/>
                                    <w:bottom w:val="none" w:sz="0" w:space="0" w:color="auto"/>
                                    <w:right w:val="none" w:sz="0" w:space="0" w:color="auto"/>
                                  </w:divBdr>
                                  <w:divsChild>
                                    <w:div w:id="1915818925">
                                      <w:marLeft w:val="0"/>
                                      <w:marRight w:val="0"/>
                                      <w:marTop w:val="0"/>
                                      <w:marBottom w:val="0"/>
                                      <w:divBdr>
                                        <w:top w:val="none" w:sz="0" w:space="0" w:color="auto"/>
                                        <w:left w:val="none" w:sz="0" w:space="0" w:color="auto"/>
                                        <w:bottom w:val="none" w:sz="0" w:space="0" w:color="auto"/>
                                        <w:right w:val="none" w:sz="0" w:space="0" w:color="auto"/>
                                      </w:divBdr>
                                      <w:divsChild>
                                        <w:div w:id="1013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02204">
      <w:bodyDiv w:val="1"/>
      <w:marLeft w:val="0"/>
      <w:marRight w:val="0"/>
      <w:marTop w:val="0"/>
      <w:marBottom w:val="0"/>
      <w:divBdr>
        <w:top w:val="none" w:sz="0" w:space="0" w:color="auto"/>
        <w:left w:val="none" w:sz="0" w:space="0" w:color="auto"/>
        <w:bottom w:val="none" w:sz="0" w:space="0" w:color="auto"/>
        <w:right w:val="none" w:sz="0" w:space="0" w:color="auto"/>
      </w:divBdr>
      <w:divsChild>
        <w:div w:id="1643655587">
          <w:marLeft w:val="0"/>
          <w:marRight w:val="0"/>
          <w:marTop w:val="0"/>
          <w:marBottom w:val="0"/>
          <w:divBdr>
            <w:top w:val="none" w:sz="0" w:space="0" w:color="auto"/>
            <w:left w:val="none" w:sz="0" w:space="0" w:color="auto"/>
            <w:bottom w:val="none" w:sz="0" w:space="0" w:color="auto"/>
            <w:right w:val="none" w:sz="0" w:space="0" w:color="auto"/>
          </w:divBdr>
          <w:divsChild>
            <w:div w:id="1099256800">
              <w:marLeft w:val="0"/>
              <w:marRight w:val="0"/>
              <w:marTop w:val="0"/>
              <w:marBottom w:val="0"/>
              <w:divBdr>
                <w:top w:val="none" w:sz="0" w:space="0" w:color="auto"/>
                <w:left w:val="none" w:sz="0" w:space="0" w:color="auto"/>
                <w:bottom w:val="none" w:sz="0" w:space="0" w:color="auto"/>
                <w:right w:val="none" w:sz="0" w:space="0" w:color="auto"/>
              </w:divBdr>
              <w:divsChild>
                <w:div w:id="2010518070">
                  <w:marLeft w:val="0"/>
                  <w:marRight w:val="0"/>
                  <w:marTop w:val="0"/>
                  <w:marBottom w:val="0"/>
                  <w:divBdr>
                    <w:top w:val="none" w:sz="0" w:space="0" w:color="auto"/>
                    <w:left w:val="none" w:sz="0" w:space="0" w:color="auto"/>
                    <w:bottom w:val="none" w:sz="0" w:space="0" w:color="auto"/>
                    <w:right w:val="none" w:sz="0" w:space="0" w:color="auto"/>
                  </w:divBdr>
                  <w:divsChild>
                    <w:div w:id="127548583">
                      <w:marLeft w:val="0"/>
                      <w:marRight w:val="0"/>
                      <w:marTop w:val="0"/>
                      <w:marBottom w:val="0"/>
                      <w:divBdr>
                        <w:top w:val="none" w:sz="0" w:space="0" w:color="auto"/>
                        <w:left w:val="none" w:sz="0" w:space="0" w:color="auto"/>
                        <w:bottom w:val="none" w:sz="0" w:space="0" w:color="auto"/>
                        <w:right w:val="none" w:sz="0" w:space="0" w:color="auto"/>
                      </w:divBdr>
                      <w:divsChild>
                        <w:div w:id="2051684713">
                          <w:marLeft w:val="0"/>
                          <w:marRight w:val="0"/>
                          <w:marTop w:val="0"/>
                          <w:marBottom w:val="0"/>
                          <w:divBdr>
                            <w:top w:val="none" w:sz="0" w:space="0" w:color="auto"/>
                            <w:left w:val="none" w:sz="0" w:space="0" w:color="auto"/>
                            <w:bottom w:val="none" w:sz="0" w:space="0" w:color="auto"/>
                            <w:right w:val="none" w:sz="0" w:space="0" w:color="auto"/>
                          </w:divBdr>
                          <w:divsChild>
                            <w:div w:id="1746535307">
                              <w:marLeft w:val="0"/>
                              <w:marRight w:val="0"/>
                              <w:marTop w:val="0"/>
                              <w:marBottom w:val="0"/>
                              <w:divBdr>
                                <w:top w:val="none" w:sz="0" w:space="0" w:color="auto"/>
                                <w:left w:val="none" w:sz="0" w:space="0" w:color="auto"/>
                                <w:bottom w:val="none" w:sz="0" w:space="0" w:color="auto"/>
                                <w:right w:val="none" w:sz="0" w:space="0" w:color="auto"/>
                              </w:divBdr>
                              <w:divsChild>
                                <w:div w:id="1146556957">
                                  <w:marLeft w:val="0"/>
                                  <w:marRight w:val="0"/>
                                  <w:marTop w:val="0"/>
                                  <w:marBottom w:val="0"/>
                                  <w:divBdr>
                                    <w:top w:val="none" w:sz="0" w:space="0" w:color="auto"/>
                                    <w:left w:val="none" w:sz="0" w:space="0" w:color="auto"/>
                                    <w:bottom w:val="none" w:sz="0" w:space="0" w:color="auto"/>
                                    <w:right w:val="none" w:sz="0" w:space="0" w:color="auto"/>
                                  </w:divBdr>
                                  <w:divsChild>
                                    <w:div w:id="1440684649">
                                      <w:marLeft w:val="0"/>
                                      <w:marRight w:val="0"/>
                                      <w:marTop w:val="0"/>
                                      <w:marBottom w:val="0"/>
                                      <w:divBdr>
                                        <w:top w:val="none" w:sz="0" w:space="0" w:color="auto"/>
                                        <w:left w:val="none" w:sz="0" w:space="0" w:color="auto"/>
                                        <w:bottom w:val="none" w:sz="0" w:space="0" w:color="auto"/>
                                        <w:right w:val="none" w:sz="0" w:space="0" w:color="auto"/>
                                      </w:divBdr>
                                      <w:divsChild>
                                        <w:div w:id="889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94175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egifrance.gouv.fr/affichTexte.do;jsessionid=D08A052C0AF99EA361BB8113BD03A915.tplgfr33s_1?cidTexte=JORFTEXT000039653899&amp;dateTexte=&amp;oldAction=rechJO&amp;categorieLien=id&amp;idJO=JORFCONT000039653846" TargetMode="External"/><Relationship Id="rId5" Type="http://schemas.openxmlformats.org/officeDocument/2006/relationships/webSettings" Target="webSettings.xml"/><Relationship Id="rId10" Type="http://schemas.openxmlformats.org/officeDocument/2006/relationships/hyperlink" Target="https://www.legifrance.gouv.fr/affichTexte.do;jsessionid=D08A052C0AF99EA361BB8113BD03A915.tplgfr33s_1?cidTexte=JORFTEXT000039654028&amp;dateTexte=&amp;oldAction=rechJO&amp;categorieLien=id&amp;idJO=JORFCONT000039653846"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4069&amp;idArticle=LEGIARTI000032773764&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7D49-3330-44DC-BC61-FCCE4B14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40</cp:revision>
  <dcterms:created xsi:type="dcterms:W3CDTF">2019-09-03T11:10:00Z</dcterms:created>
  <dcterms:modified xsi:type="dcterms:W3CDTF">2020-01-02T12:38:00Z</dcterms:modified>
</cp:coreProperties>
</file>