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4044900"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B1217E">
        <w:rPr>
          <w:b/>
        </w:rPr>
        <w:t>2</w:t>
      </w:r>
      <w:r w:rsidR="0072136B">
        <w:rPr>
          <w:b/>
        </w:rPr>
        <w:t xml:space="preserve"> – </w:t>
      </w:r>
      <w:r w:rsidR="00AD3799">
        <w:rPr>
          <w:b/>
        </w:rPr>
        <w:t>2</w:t>
      </w:r>
      <w:r w:rsidR="00E17983">
        <w:rPr>
          <w:b/>
        </w:rPr>
        <w:t xml:space="preserve"> </w:t>
      </w:r>
      <w:r w:rsidR="00B1217E">
        <w:rPr>
          <w:b/>
        </w:rPr>
        <w:t>juin</w:t>
      </w:r>
      <w:r w:rsidR="0072136B">
        <w:rPr>
          <w:b/>
        </w:rPr>
        <w:t xml:space="preserve"> 2021</w:t>
      </w:r>
    </w:p>
    <w:p w:rsidR="00B40C3F" w:rsidRDefault="00877F07" w:rsidP="00474C1E">
      <w:pPr>
        <w:jc w:val="center"/>
        <w:rPr>
          <w:rFonts w:cstheme="minorHAnsi"/>
          <w:b/>
        </w:rPr>
      </w:pPr>
      <w:r>
        <w:rPr>
          <w:rFonts w:cstheme="minorHAnsi"/>
          <w:b/>
        </w:rPr>
        <w:t xml:space="preserve">Emploi </w:t>
      </w:r>
      <w:r w:rsidR="006B1278">
        <w:rPr>
          <w:rFonts w:cstheme="minorHAnsi"/>
          <w:b/>
        </w:rPr>
        <w:t xml:space="preserve">des jeunes </w:t>
      </w:r>
      <w:r w:rsidR="00474C1E" w:rsidRPr="00474C1E">
        <w:rPr>
          <w:rFonts w:cstheme="minorHAnsi"/>
          <w:b/>
        </w:rPr>
        <w:t xml:space="preserve">: </w:t>
      </w:r>
      <w:r w:rsidR="00312C02">
        <w:rPr>
          <w:rFonts w:cstheme="minorHAnsi"/>
          <w:b/>
        </w:rPr>
        <w:t>3</w:t>
      </w:r>
      <w:r w:rsidR="00474C1E" w:rsidRPr="00474C1E">
        <w:rPr>
          <w:rFonts w:cstheme="minorHAnsi"/>
          <w:b/>
        </w:rPr>
        <w:t xml:space="preserve"> décret</w:t>
      </w:r>
      <w:r>
        <w:rPr>
          <w:rFonts w:cstheme="minorHAnsi"/>
          <w:b/>
        </w:rPr>
        <w:t>s</w:t>
      </w:r>
      <w:r w:rsidR="006B1278">
        <w:rPr>
          <w:rFonts w:cstheme="minorHAnsi"/>
          <w:b/>
        </w:rPr>
        <w:t>, 1 arrêté</w:t>
      </w:r>
      <w:r w:rsidR="00474C1E" w:rsidRPr="00474C1E">
        <w:rPr>
          <w:rFonts w:cstheme="minorHAnsi"/>
          <w:b/>
        </w:rPr>
        <w:t xml:space="preserve"> et 1 circulaire</w:t>
      </w:r>
    </w:p>
    <w:p w:rsidR="00474C1E" w:rsidRDefault="00474C1E" w:rsidP="00474C1E">
      <w:pPr>
        <w:jc w:val="center"/>
        <w:rPr>
          <w:rFonts w:cstheme="minorHAnsi"/>
          <w:b/>
        </w:rPr>
      </w:pPr>
    </w:p>
    <w:p w:rsidR="00474C1E" w:rsidRDefault="00B37598" w:rsidP="00FA7CB7">
      <w:pPr>
        <w:pStyle w:val="Titre1"/>
        <w:shd w:val="clear" w:color="auto" w:fill="FFFFFF"/>
        <w:spacing w:before="0" w:after="75"/>
        <w:rPr>
          <w:rFonts w:cstheme="minorHAnsi"/>
        </w:rPr>
      </w:pPr>
      <w:hyperlink r:id="rId10" w:history="1">
        <w:r w:rsidR="00474C1E" w:rsidRPr="00474C1E">
          <w:rPr>
            <w:rStyle w:val="Lienhypertexte"/>
            <w:rFonts w:asciiTheme="minorHAnsi" w:hAnsiTheme="minorHAnsi" w:cstheme="minorHAnsi"/>
            <w:bCs/>
            <w:sz w:val="22"/>
            <w:szCs w:val="22"/>
          </w:rPr>
          <w:t>Décret n° 2021-634 du 21 mai 2021 modifiant le décret n° 2015-59 du 26 janvier 2015</w:t>
        </w:r>
      </w:hyperlink>
      <w:r w:rsidR="00474C1E" w:rsidRPr="00474C1E">
        <w:rPr>
          <w:rFonts w:asciiTheme="minorHAnsi" w:hAnsiTheme="minorHAnsi" w:cstheme="minorHAnsi"/>
          <w:bCs/>
          <w:color w:val="auto"/>
          <w:sz w:val="22"/>
          <w:szCs w:val="22"/>
        </w:rPr>
        <w:t xml:space="preserve"> autorisant un traitement automatisé de données à caractère personnel relatif à l'accompagnement des jeunes pour l'accès à l'emploi et dénommé « I-MILO »</w:t>
      </w:r>
      <w:r w:rsidR="00FA7CB7">
        <w:rPr>
          <w:rFonts w:asciiTheme="minorHAnsi" w:hAnsiTheme="minorHAnsi" w:cstheme="minorHAnsi"/>
          <w:bCs/>
          <w:color w:val="auto"/>
          <w:sz w:val="22"/>
          <w:szCs w:val="22"/>
        </w:rPr>
        <w:br/>
      </w:r>
      <w:r w:rsidR="00FA7CB7">
        <w:rPr>
          <w:rFonts w:cstheme="minorHAnsi"/>
        </w:rPr>
        <w:br/>
      </w:r>
      <w:r w:rsidR="00474C1E" w:rsidRPr="00FA7CB7">
        <w:rPr>
          <w:rFonts w:asciiTheme="minorHAnsi" w:hAnsiTheme="minorHAnsi" w:cstheme="minorHAnsi"/>
          <w:color w:val="auto"/>
          <w:sz w:val="22"/>
          <w:szCs w:val="22"/>
        </w:rPr>
        <w:t>Journal officiel du 22 mai 2021</w:t>
      </w:r>
      <w:r w:rsidR="00FA7CB7">
        <w:rPr>
          <w:rFonts w:asciiTheme="minorHAnsi" w:hAnsiTheme="minorHAnsi" w:cstheme="minorHAnsi"/>
          <w:color w:val="auto"/>
          <w:sz w:val="22"/>
          <w:szCs w:val="22"/>
        </w:rPr>
        <w:br/>
      </w:r>
      <w:r w:rsidR="00FA7CB7">
        <w:rPr>
          <w:rFonts w:cstheme="minorHAnsi"/>
        </w:rPr>
        <w:br/>
      </w:r>
      <w:r w:rsidR="00474C1E" w:rsidRPr="00FA7CB7">
        <w:rPr>
          <w:rFonts w:asciiTheme="minorHAnsi" w:hAnsiTheme="minorHAnsi" w:cstheme="minorHAnsi"/>
          <w:color w:val="auto"/>
          <w:sz w:val="22"/>
          <w:szCs w:val="22"/>
        </w:rPr>
        <w:t>Le texte procède aux modifications des modalités de mise en œuvre du traitement de données relatif à l'accompagnement des jeunes pour l'accès à l'emploi et dénommé « I-MILO » afin notamment de prendre en compte les évolutions du cadre juridique applicable à la protection des données personnelles, notamment s'agissant de la responsabilité conjointe du traitement et de l'exercice des droits des personnes.</w:t>
      </w:r>
    </w:p>
    <w:p w:rsidR="00474C1E" w:rsidRDefault="00474C1E" w:rsidP="00474C1E">
      <w:pPr>
        <w:pStyle w:val="Titre1"/>
        <w:spacing w:before="0" w:after="120"/>
        <w:rPr>
          <w:rFonts w:asciiTheme="minorHAnsi" w:hAnsiTheme="minorHAnsi" w:cstheme="minorHAnsi"/>
          <w:bCs/>
          <w:color w:val="auto"/>
          <w:sz w:val="22"/>
          <w:szCs w:val="22"/>
        </w:rPr>
      </w:pPr>
    </w:p>
    <w:p w:rsidR="00474C1E" w:rsidRPr="00474C1E" w:rsidRDefault="00B37598" w:rsidP="00474C1E">
      <w:pPr>
        <w:pStyle w:val="Titre1"/>
        <w:spacing w:before="0" w:after="120"/>
        <w:rPr>
          <w:rFonts w:asciiTheme="minorHAnsi" w:hAnsiTheme="minorHAnsi" w:cstheme="minorHAnsi"/>
          <w:color w:val="auto"/>
          <w:sz w:val="22"/>
          <w:szCs w:val="22"/>
        </w:rPr>
      </w:pPr>
      <w:hyperlink r:id="rId11" w:history="1">
        <w:r w:rsidR="00474C1E" w:rsidRPr="00474C1E">
          <w:rPr>
            <w:rStyle w:val="Lienhypertexte"/>
            <w:rFonts w:asciiTheme="minorHAnsi" w:hAnsiTheme="minorHAnsi" w:cstheme="minorHAnsi"/>
            <w:bCs/>
            <w:sz w:val="22"/>
            <w:szCs w:val="22"/>
          </w:rPr>
          <w:t>Campagne 2021-2022</w:t>
        </w:r>
      </w:hyperlink>
      <w:r w:rsidR="00474C1E" w:rsidRPr="00474C1E">
        <w:rPr>
          <w:rFonts w:asciiTheme="minorHAnsi" w:hAnsiTheme="minorHAnsi" w:cstheme="minorHAnsi"/>
          <w:bCs/>
          <w:color w:val="auto"/>
          <w:sz w:val="22"/>
          <w:szCs w:val="22"/>
        </w:rPr>
        <w:t xml:space="preserve"> de recrutement d'apprentis au sein de la fonction publique de l'État</w:t>
      </w:r>
      <w:r w:rsidR="009E292B">
        <w:rPr>
          <w:rFonts w:asciiTheme="minorHAnsi" w:hAnsiTheme="minorHAnsi" w:cstheme="minorHAnsi"/>
          <w:bCs/>
          <w:color w:val="auto"/>
          <w:sz w:val="22"/>
          <w:szCs w:val="22"/>
        </w:rPr>
        <w:br/>
      </w:r>
      <w:r w:rsidR="009E292B">
        <w:rPr>
          <w:rFonts w:asciiTheme="minorHAnsi" w:hAnsiTheme="minorHAnsi" w:cstheme="minorHAnsi"/>
          <w:color w:val="auto"/>
          <w:sz w:val="22"/>
          <w:szCs w:val="22"/>
        </w:rPr>
        <w:br/>
      </w:r>
      <w:r w:rsidR="00474C1E" w:rsidRPr="00474C1E">
        <w:rPr>
          <w:rFonts w:asciiTheme="minorHAnsi" w:hAnsiTheme="minorHAnsi" w:cstheme="minorHAnsi"/>
          <w:color w:val="auto"/>
          <w:sz w:val="22"/>
          <w:szCs w:val="22"/>
        </w:rPr>
        <w:t>Circulaire Légifrance, mise en ligne le 25 mai 2021</w:t>
      </w:r>
      <w:r w:rsidR="009E292B">
        <w:rPr>
          <w:rFonts w:asciiTheme="minorHAnsi" w:hAnsiTheme="minorHAnsi" w:cstheme="minorHAnsi"/>
          <w:color w:val="auto"/>
          <w:sz w:val="22"/>
          <w:szCs w:val="22"/>
        </w:rPr>
        <w:br/>
      </w:r>
      <w:bookmarkStart w:id="1" w:name="_GoBack"/>
      <w:bookmarkEnd w:id="1"/>
    </w:p>
    <w:p w:rsidR="00474C1E" w:rsidRDefault="00474C1E" w:rsidP="00474C1E">
      <w:pPr>
        <w:rPr>
          <w:rFonts w:cstheme="minorHAnsi"/>
          <w:shd w:val="clear" w:color="auto" w:fill="FFFFFF"/>
        </w:rPr>
      </w:pPr>
      <w:r w:rsidRPr="00474C1E">
        <w:rPr>
          <w:rFonts w:cstheme="minorHAnsi"/>
          <w:shd w:val="clear" w:color="auto" w:fill="FFFFFF"/>
        </w:rPr>
        <w:t>La crise sanitaire éprouve fortement notre jeunesse. Pour de nombreux jeunes</w:t>
      </w:r>
      <w:r>
        <w:rPr>
          <w:rFonts w:cstheme="minorHAnsi"/>
          <w:shd w:val="clear" w:color="auto" w:fill="FFFFFF"/>
        </w:rPr>
        <w:t>,</w:t>
      </w:r>
      <w:r w:rsidRPr="00474C1E">
        <w:rPr>
          <w:rFonts w:cstheme="minorHAnsi"/>
          <w:shd w:val="clear" w:color="auto" w:fill="FFFFFF"/>
        </w:rPr>
        <w:t xml:space="preserve"> elle a pu interrompre des projets professionnels, voire remettre en cause des ambitions préparées de longue date. Afin de lui redonner des perspectives en matière d'insertion professionnelle, j'ai pris, dans le cadre du plan 1jeune1solution, des mesures visant à développer les parcours d'alternance. Afin de relancer la dynamique de recrutement dans la fonction publique de l'État, je souhaite fixer des objectifs ambitieux de recrutement de 15 000 nouveaux apprentis pour le cycle 2021-2022, dès à présent et en particulier lors de la rentrée de septembre 2021.</w:t>
      </w:r>
    </w:p>
    <w:p w:rsidR="00877F07" w:rsidRDefault="00877F07" w:rsidP="00474C1E">
      <w:pPr>
        <w:rPr>
          <w:rFonts w:cstheme="minorHAnsi"/>
          <w:shd w:val="clear" w:color="auto" w:fill="FFFFFF"/>
        </w:rPr>
      </w:pPr>
    </w:p>
    <w:p w:rsidR="00877F07" w:rsidRDefault="00877F07" w:rsidP="00474C1E">
      <w:pPr>
        <w:rPr>
          <w:rFonts w:cstheme="minorHAnsi"/>
          <w:shd w:val="clear" w:color="auto" w:fill="FFFFFF"/>
        </w:rPr>
      </w:pPr>
    </w:p>
    <w:p w:rsidR="00877F07" w:rsidRDefault="00B37598" w:rsidP="009E292B">
      <w:pPr>
        <w:pStyle w:val="Titre1"/>
        <w:shd w:val="clear" w:color="auto" w:fill="FFFFFF"/>
        <w:spacing w:before="0" w:after="75"/>
        <w:rPr>
          <w:rFonts w:cstheme="minorHAnsi"/>
          <w:shd w:val="clear" w:color="auto" w:fill="FFFFFF"/>
        </w:rPr>
      </w:pPr>
      <w:hyperlink r:id="rId12" w:history="1">
        <w:r w:rsidR="00877F07" w:rsidRPr="00877F07">
          <w:rPr>
            <w:rStyle w:val="Lienhypertexte"/>
            <w:rFonts w:asciiTheme="minorHAnsi" w:hAnsiTheme="minorHAnsi" w:cstheme="minorHAnsi"/>
            <w:bCs/>
            <w:sz w:val="22"/>
            <w:szCs w:val="22"/>
          </w:rPr>
          <w:t>Décret n° 2021-664 du 26 mai 2021</w:t>
        </w:r>
      </w:hyperlink>
      <w:r w:rsidR="00877F07" w:rsidRPr="00877F07">
        <w:rPr>
          <w:rFonts w:asciiTheme="minorHAnsi" w:hAnsiTheme="minorHAnsi" w:cstheme="minorHAnsi"/>
          <w:bCs/>
          <w:color w:val="auto"/>
          <w:sz w:val="22"/>
          <w:szCs w:val="22"/>
        </w:rPr>
        <w:t xml:space="preserve"> relatif à la garantie jeunes</w:t>
      </w:r>
      <w:r w:rsidR="009E292B">
        <w:rPr>
          <w:rFonts w:asciiTheme="minorHAnsi" w:hAnsiTheme="minorHAnsi" w:cstheme="minorHAnsi"/>
          <w:bCs/>
          <w:color w:val="auto"/>
          <w:sz w:val="22"/>
          <w:szCs w:val="22"/>
        </w:rPr>
        <w:br/>
      </w:r>
      <w:r w:rsidR="009E292B">
        <w:rPr>
          <w:rFonts w:cstheme="minorHAnsi"/>
        </w:rPr>
        <w:br/>
      </w:r>
      <w:r w:rsidR="00877F07" w:rsidRPr="009E292B">
        <w:rPr>
          <w:rFonts w:asciiTheme="minorHAnsi" w:hAnsiTheme="minorHAnsi" w:cstheme="minorHAnsi"/>
          <w:color w:val="auto"/>
          <w:sz w:val="22"/>
          <w:szCs w:val="22"/>
        </w:rPr>
        <w:t>Journal officiel du 28 mai 2021</w:t>
      </w:r>
      <w:r w:rsidR="009E292B" w:rsidRPr="009E292B">
        <w:rPr>
          <w:rFonts w:asciiTheme="minorHAnsi" w:hAnsiTheme="minorHAnsi" w:cstheme="minorHAnsi"/>
          <w:color w:val="auto"/>
          <w:sz w:val="22"/>
          <w:szCs w:val="22"/>
        </w:rPr>
        <w:br/>
      </w:r>
      <w:r w:rsidR="009E292B" w:rsidRPr="009E292B">
        <w:rPr>
          <w:rFonts w:asciiTheme="minorHAnsi" w:hAnsiTheme="minorHAnsi" w:cstheme="minorHAnsi"/>
          <w:color w:val="auto"/>
          <w:sz w:val="22"/>
          <w:szCs w:val="22"/>
          <w:shd w:val="clear" w:color="auto" w:fill="FFFFFF"/>
        </w:rPr>
        <w:br/>
      </w:r>
      <w:r w:rsidR="00877F07" w:rsidRPr="009E292B">
        <w:rPr>
          <w:rFonts w:asciiTheme="minorHAnsi" w:hAnsiTheme="minorHAnsi" w:cstheme="minorHAnsi"/>
          <w:color w:val="auto"/>
          <w:sz w:val="22"/>
          <w:szCs w:val="22"/>
          <w:shd w:val="clear" w:color="auto" w:fill="FFFFFF"/>
        </w:rPr>
        <w:t>Ce texte ouvre aux missions locales la possibilité de moduler la durée, entre neuf et douze mois, du parcours en garantie jeunes et de la prolonger ensuite sans décision de la commission locale. Il leur permet également de prendre des décisions d'admission à titre dérogatoire sous certaines conditions.</w:t>
      </w:r>
    </w:p>
    <w:p w:rsidR="00312C02" w:rsidRDefault="00312C02" w:rsidP="00474C1E">
      <w:pPr>
        <w:rPr>
          <w:rFonts w:cstheme="minorHAnsi"/>
          <w:shd w:val="clear" w:color="auto" w:fill="FFFFFF"/>
        </w:rPr>
      </w:pPr>
    </w:p>
    <w:p w:rsidR="00312C02" w:rsidRPr="00312C02" w:rsidRDefault="00B37598" w:rsidP="00312C02">
      <w:pPr>
        <w:pStyle w:val="Titre1"/>
        <w:shd w:val="clear" w:color="auto" w:fill="FFFFFF"/>
        <w:spacing w:before="0" w:after="75"/>
        <w:rPr>
          <w:rFonts w:asciiTheme="minorHAnsi" w:hAnsiTheme="minorHAnsi" w:cstheme="minorHAnsi"/>
          <w:bCs/>
          <w:color w:val="auto"/>
          <w:sz w:val="22"/>
          <w:szCs w:val="22"/>
        </w:rPr>
      </w:pPr>
      <w:hyperlink r:id="rId13" w:history="1">
        <w:r w:rsidR="00312C02" w:rsidRPr="00312C02">
          <w:rPr>
            <w:rStyle w:val="Lienhypertexte"/>
            <w:rFonts w:asciiTheme="minorHAnsi" w:hAnsiTheme="minorHAnsi" w:cstheme="minorHAnsi"/>
            <w:bCs/>
            <w:sz w:val="22"/>
            <w:szCs w:val="22"/>
          </w:rPr>
          <w:t>Décret n° 2021-672 du 28 mai 2021</w:t>
        </w:r>
      </w:hyperlink>
      <w:r w:rsidR="00312C02" w:rsidRPr="00312C02">
        <w:rPr>
          <w:rFonts w:asciiTheme="minorHAnsi" w:hAnsiTheme="minorHAnsi" w:cstheme="minorHAnsi"/>
          <w:bCs/>
          <w:color w:val="auto"/>
          <w:sz w:val="22"/>
          <w:szCs w:val="22"/>
        </w:rPr>
        <w:t xml:space="preserve"> relatif à la rémunération des stagiaires de la formation professionnelle applicable aux jeunes de moins de vingt-six ans ayant eu une activité antérieure</w:t>
      </w:r>
      <w:r w:rsidR="00312C02">
        <w:rPr>
          <w:rFonts w:asciiTheme="minorHAnsi" w:hAnsiTheme="minorHAnsi" w:cstheme="minorHAnsi"/>
          <w:bCs/>
          <w:color w:val="auto"/>
          <w:sz w:val="22"/>
          <w:szCs w:val="22"/>
        </w:rPr>
        <w:br/>
      </w:r>
      <w:r w:rsidR="00312C02">
        <w:rPr>
          <w:rFonts w:asciiTheme="minorHAnsi" w:hAnsiTheme="minorHAnsi" w:cstheme="minorHAnsi"/>
          <w:bCs/>
          <w:color w:val="auto"/>
          <w:sz w:val="22"/>
          <w:szCs w:val="22"/>
        </w:rPr>
        <w:br/>
        <w:t>Journal officiel du 29 mai 2021</w:t>
      </w:r>
      <w:r w:rsidR="00312C02">
        <w:rPr>
          <w:rFonts w:asciiTheme="minorHAnsi" w:hAnsiTheme="minorHAnsi" w:cstheme="minorHAnsi"/>
          <w:bCs/>
          <w:color w:val="auto"/>
          <w:sz w:val="22"/>
          <w:szCs w:val="22"/>
        </w:rPr>
        <w:br/>
      </w:r>
      <w:r w:rsidR="00312C02">
        <w:rPr>
          <w:rFonts w:asciiTheme="minorHAnsi" w:hAnsiTheme="minorHAnsi" w:cstheme="minorHAnsi"/>
          <w:bCs/>
          <w:color w:val="auto"/>
          <w:sz w:val="22"/>
          <w:szCs w:val="22"/>
        </w:rPr>
        <w:br/>
      </w:r>
      <w:r w:rsidR="00312C02" w:rsidRPr="00312C02">
        <w:rPr>
          <w:rFonts w:asciiTheme="minorHAnsi" w:hAnsiTheme="minorHAnsi" w:cstheme="minorHAnsi"/>
          <w:color w:val="auto"/>
          <w:sz w:val="22"/>
          <w:szCs w:val="22"/>
          <w:shd w:val="clear" w:color="auto" w:fill="FFFFFF"/>
        </w:rPr>
        <w:t>Ce texte prévoit les modalités de rémunération des stagiaires de la formation professionnelle de moins de 26 ans ayant eu une activité salariée antérieure. Il prévoit en outre une prime exceptionnelle pour ces stagiaires, déjà en stage au mois de mai 2021.</w:t>
      </w:r>
    </w:p>
    <w:p w:rsidR="00312C02" w:rsidRDefault="00312C02" w:rsidP="00312C02"/>
    <w:p w:rsidR="00312C02" w:rsidRPr="00312C02" w:rsidRDefault="006B1278" w:rsidP="009E292B">
      <w:pPr>
        <w:pStyle w:val="Titre1"/>
        <w:shd w:val="clear" w:color="auto" w:fill="FFFFFF"/>
        <w:spacing w:before="0" w:after="75"/>
      </w:pPr>
      <w:hyperlink r:id="rId14" w:history="1">
        <w:r w:rsidRPr="006B1278">
          <w:rPr>
            <w:rStyle w:val="Lienhypertexte"/>
            <w:rFonts w:asciiTheme="minorHAnsi" w:hAnsiTheme="minorHAnsi" w:cstheme="minorHAnsi"/>
            <w:bCs/>
            <w:sz w:val="22"/>
            <w:szCs w:val="22"/>
          </w:rPr>
          <w:t>Arrêté du 31 mai 2021</w:t>
        </w:r>
      </w:hyperlink>
      <w:r w:rsidRPr="006B1278">
        <w:rPr>
          <w:rFonts w:asciiTheme="minorHAnsi" w:hAnsiTheme="minorHAnsi" w:cstheme="minorHAnsi"/>
          <w:bCs/>
          <w:color w:val="auto"/>
          <w:sz w:val="22"/>
          <w:szCs w:val="22"/>
        </w:rPr>
        <w:t xml:space="preserve"> fixant la liste des stages ouvrant le bénéfice de l'affiliation à un régime de sécurité sociale et à une rémunération aux jeunes de moins de trente ans au titre de l'article 270 de la loi n° 2020-1721 du 29 décembre 2020 de finances pour 2021</w:t>
      </w:r>
      <w:r w:rsidR="009E292B">
        <w:rPr>
          <w:rFonts w:asciiTheme="minorHAnsi" w:hAnsiTheme="minorHAnsi" w:cstheme="minorHAnsi"/>
          <w:bCs/>
          <w:color w:val="auto"/>
          <w:sz w:val="22"/>
          <w:szCs w:val="22"/>
        </w:rPr>
        <w:br/>
      </w:r>
      <w:r w:rsidR="009E292B">
        <w:br/>
      </w:r>
      <w:r w:rsidR="009E292B" w:rsidRPr="009E292B">
        <w:rPr>
          <w:rFonts w:asciiTheme="minorHAnsi" w:hAnsiTheme="minorHAnsi" w:cstheme="minorHAnsi"/>
          <w:color w:val="auto"/>
          <w:sz w:val="22"/>
          <w:szCs w:val="22"/>
        </w:rPr>
        <w:t>Journal officiel du 1</w:t>
      </w:r>
      <w:r w:rsidR="009E292B" w:rsidRPr="009E292B">
        <w:rPr>
          <w:rFonts w:asciiTheme="minorHAnsi" w:hAnsiTheme="minorHAnsi" w:cstheme="minorHAnsi"/>
          <w:color w:val="auto"/>
          <w:sz w:val="22"/>
          <w:szCs w:val="22"/>
          <w:vertAlign w:val="superscript"/>
        </w:rPr>
        <w:t>er</w:t>
      </w:r>
      <w:r w:rsidR="009E292B" w:rsidRPr="009E292B">
        <w:rPr>
          <w:rFonts w:asciiTheme="minorHAnsi" w:hAnsiTheme="minorHAnsi" w:cstheme="minorHAnsi"/>
          <w:color w:val="auto"/>
          <w:sz w:val="22"/>
          <w:szCs w:val="22"/>
        </w:rPr>
        <w:t xml:space="preserve"> juin 2021</w:t>
      </w:r>
    </w:p>
    <w:p w:rsidR="00312C02" w:rsidRPr="009E292B" w:rsidRDefault="009E292B" w:rsidP="00474C1E">
      <w:pPr>
        <w:rPr>
          <w:rFonts w:cstheme="minorHAnsi"/>
        </w:rPr>
      </w:pPr>
      <w:r>
        <w:rPr>
          <w:rFonts w:cstheme="minorHAnsi"/>
        </w:rPr>
        <w:br/>
      </w:r>
      <w:r w:rsidRPr="009E292B">
        <w:rPr>
          <w:rFonts w:cstheme="minorHAnsi"/>
          <w:shd w:val="clear" w:color="auto" w:fill="FFFFFF"/>
        </w:rPr>
        <w:t>C</w:t>
      </w:r>
      <w:r w:rsidRPr="009E292B">
        <w:rPr>
          <w:rFonts w:cstheme="minorHAnsi"/>
          <w:shd w:val="clear" w:color="auto" w:fill="FFFFFF"/>
        </w:rPr>
        <w:t>e texte dresse la liste des stages d'accompagnement, d'insertion professionnelle, d'orientation ou d'appui à la définition d'un projet professionnel, un stage d'initiation, de formation ou de complément de formation professionnelle dans le cadre d'un programme national ouvrant droit, à une rémunération et à l'affiliation à un régime de sécurité sociale assimilables à ceux dont bénéficient les stagiaires de la formation professionnelle.</w:t>
      </w:r>
    </w:p>
    <w:p w:rsidR="00312C02" w:rsidRPr="00877F07" w:rsidRDefault="00312C02" w:rsidP="00474C1E">
      <w:pPr>
        <w:rPr>
          <w:rFonts w:cstheme="minorHAnsi"/>
        </w:rPr>
      </w:pPr>
    </w:p>
    <w:sectPr w:rsidR="00312C02" w:rsidRPr="00877F0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98" w:rsidRDefault="00B37598" w:rsidP="00943B28">
      <w:pPr>
        <w:spacing w:after="0" w:line="240" w:lineRule="auto"/>
      </w:pPr>
      <w:r>
        <w:separator/>
      </w:r>
    </w:p>
  </w:endnote>
  <w:endnote w:type="continuationSeparator" w:id="0">
    <w:p w:rsidR="00B37598" w:rsidRDefault="00B3759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9E292B">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98" w:rsidRDefault="00B37598" w:rsidP="00943B28">
      <w:pPr>
        <w:spacing w:after="0" w:line="240" w:lineRule="auto"/>
      </w:pPr>
      <w:r>
        <w:separator/>
      </w:r>
    </w:p>
  </w:footnote>
  <w:footnote w:type="continuationSeparator" w:id="0">
    <w:p w:rsidR="00B37598" w:rsidRDefault="00B3759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4066F"/>
    <w:multiLevelType w:val="multilevel"/>
    <w:tmpl w:val="EE8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B10D0"/>
    <w:multiLevelType w:val="multilevel"/>
    <w:tmpl w:val="7CF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5"/>
  </w:num>
  <w:num w:numId="5">
    <w:abstractNumId w:val="0"/>
  </w:num>
  <w:num w:numId="6">
    <w:abstractNumId w:val="4"/>
  </w:num>
  <w:num w:numId="7">
    <w:abstractNumId w:val="3"/>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96BAE"/>
    <w:rsid w:val="000A4FD1"/>
    <w:rsid w:val="000A7B61"/>
    <w:rsid w:val="000D111E"/>
    <w:rsid w:val="000D6D31"/>
    <w:rsid w:val="00140FBE"/>
    <w:rsid w:val="00152876"/>
    <w:rsid w:val="00176BC1"/>
    <w:rsid w:val="001B56A7"/>
    <w:rsid w:val="002046A4"/>
    <w:rsid w:val="00216DBB"/>
    <w:rsid w:val="00225549"/>
    <w:rsid w:val="002658C3"/>
    <w:rsid w:val="00291C56"/>
    <w:rsid w:val="002A0328"/>
    <w:rsid w:val="002B240B"/>
    <w:rsid w:val="002B729E"/>
    <w:rsid w:val="002B76EA"/>
    <w:rsid w:val="003050F2"/>
    <w:rsid w:val="00312C02"/>
    <w:rsid w:val="00316F2A"/>
    <w:rsid w:val="00322180"/>
    <w:rsid w:val="003371A7"/>
    <w:rsid w:val="00350E31"/>
    <w:rsid w:val="00376092"/>
    <w:rsid w:val="00386267"/>
    <w:rsid w:val="00391D5E"/>
    <w:rsid w:val="00445921"/>
    <w:rsid w:val="00460340"/>
    <w:rsid w:val="00474C1E"/>
    <w:rsid w:val="0049467C"/>
    <w:rsid w:val="004D0004"/>
    <w:rsid w:val="0052310B"/>
    <w:rsid w:val="00533FBE"/>
    <w:rsid w:val="005C2D73"/>
    <w:rsid w:val="005C4276"/>
    <w:rsid w:val="005F3C35"/>
    <w:rsid w:val="00630368"/>
    <w:rsid w:val="00631D1F"/>
    <w:rsid w:val="0065783B"/>
    <w:rsid w:val="006B1278"/>
    <w:rsid w:val="00701690"/>
    <w:rsid w:val="0072136B"/>
    <w:rsid w:val="007A1C07"/>
    <w:rsid w:val="007A52B2"/>
    <w:rsid w:val="007C0AF4"/>
    <w:rsid w:val="00800061"/>
    <w:rsid w:val="00877F07"/>
    <w:rsid w:val="00890A43"/>
    <w:rsid w:val="008B4581"/>
    <w:rsid w:val="008E640E"/>
    <w:rsid w:val="00905E92"/>
    <w:rsid w:val="00905FF3"/>
    <w:rsid w:val="00937E69"/>
    <w:rsid w:val="00943B28"/>
    <w:rsid w:val="009526F4"/>
    <w:rsid w:val="0096235B"/>
    <w:rsid w:val="009652A7"/>
    <w:rsid w:val="00977B6A"/>
    <w:rsid w:val="009A3961"/>
    <w:rsid w:val="009D45A0"/>
    <w:rsid w:val="009D481B"/>
    <w:rsid w:val="009E292B"/>
    <w:rsid w:val="009E6DB7"/>
    <w:rsid w:val="00A07A83"/>
    <w:rsid w:val="00A304F7"/>
    <w:rsid w:val="00AC5BCC"/>
    <w:rsid w:val="00AD3799"/>
    <w:rsid w:val="00B042D6"/>
    <w:rsid w:val="00B1217E"/>
    <w:rsid w:val="00B21FE5"/>
    <w:rsid w:val="00B33688"/>
    <w:rsid w:val="00B3470A"/>
    <w:rsid w:val="00B37598"/>
    <w:rsid w:val="00B40C3F"/>
    <w:rsid w:val="00B62CA3"/>
    <w:rsid w:val="00B6679B"/>
    <w:rsid w:val="00B71459"/>
    <w:rsid w:val="00B82DAE"/>
    <w:rsid w:val="00BA32C4"/>
    <w:rsid w:val="00BA5951"/>
    <w:rsid w:val="00BF4B88"/>
    <w:rsid w:val="00BF646B"/>
    <w:rsid w:val="00C1779F"/>
    <w:rsid w:val="00C46DD3"/>
    <w:rsid w:val="00C55DC0"/>
    <w:rsid w:val="00CA6DB0"/>
    <w:rsid w:val="00CC1DE9"/>
    <w:rsid w:val="00CE67DE"/>
    <w:rsid w:val="00CF6FCC"/>
    <w:rsid w:val="00D019D3"/>
    <w:rsid w:val="00D02D4B"/>
    <w:rsid w:val="00D21DA0"/>
    <w:rsid w:val="00D24596"/>
    <w:rsid w:val="00D27FE4"/>
    <w:rsid w:val="00D415CA"/>
    <w:rsid w:val="00E03B9D"/>
    <w:rsid w:val="00E17983"/>
    <w:rsid w:val="00E2138E"/>
    <w:rsid w:val="00E75703"/>
    <w:rsid w:val="00EA0630"/>
    <w:rsid w:val="00EA214F"/>
    <w:rsid w:val="00EE475F"/>
    <w:rsid w:val="00EF08E3"/>
    <w:rsid w:val="00F10019"/>
    <w:rsid w:val="00FA7CB7"/>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CA9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fleche">
    <w:name w:val="fleche"/>
    <w:basedOn w:val="Policepardfaut"/>
    <w:rsid w:val="00B40C3F"/>
  </w:style>
  <w:style w:type="character" w:customStyle="1" w:styleId="text">
    <w:name w:val="text"/>
    <w:basedOn w:val="Policepardfaut"/>
    <w:rsid w:val="00B4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459">
      <w:bodyDiv w:val="1"/>
      <w:marLeft w:val="0"/>
      <w:marRight w:val="0"/>
      <w:marTop w:val="0"/>
      <w:marBottom w:val="0"/>
      <w:divBdr>
        <w:top w:val="none" w:sz="0" w:space="0" w:color="auto"/>
        <w:left w:val="none" w:sz="0" w:space="0" w:color="auto"/>
        <w:bottom w:val="none" w:sz="0" w:space="0" w:color="auto"/>
        <w:right w:val="none" w:sz="0" w:space="0" w:color="auto"/>
      </w:divBdr>
    </w:div>
    <w:div w:id="103114827">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084865">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3799">
      <w:bodyDiv w:val="1"/>
      <w:marLeft w:val="0"/>
      <w:marRight w:val="0"/>
      <w:marTop w:val="0"/>
      <w:marBottom w:val="0"/>
      <w:divBdr>
        <w:top w:val="none" w:sz="0" w:space="0" w:color="auto"/>
        <w:left w:val="none" w:sz="0" w:space="0" w:color="auto"/>
        <w:bottom w:val="none" w:sz="0" w:space="0" w:color="auto"/>
        <w:right w:val="none" w:sz="0" w:space="0" w:color="auto"/>
      </w:divBdr>
      <w:divsChild>
        <w:div w:id="891425152">
          <w:marLeft w:val="0"/>
          <w:marRight w:val="0"/>
          <w:marTop w:val="0"/>
          <w:marBottom w:val="0"/>
          <w:divBdr>
            <w:top w:val="none" w:sz="0" w:space="0" w:color="auto"/>
            <w:left w:val="none" w:sz="0" w:space="0" w:color="auto"/>
            <w:bottom w:val="none" w:sz="0" w:space="0" w:color="auto"/>
            <w:right w:val="none" w:sz="0" w:space="0" w:color="auto"/>
          </w:divBdr>
          <w:divsChild>
            <w:div w:id="1825006747">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9783">
          <w:marLeft w:val="0"/>
          <w:marRight w:val="0"/>
          <w:marTop w:val="0"/>
          <w:marBottom w:val="0"/>
          <w:divBdr>
            <w:top w:val="none" w:sz="0" w:space="0" w:color="auto"/>
            <w:left w:val="none" w:sz="0" w:space="0" w:color="auto"/>
            <w:bottom w:val="none" w:sz="0" w:space="0" w:color="auto"/>
            <w:right w:val="none" w:sz="0" w:space="0" w:color="auto"/>
          </w:divBdr>
          <w:divsChild>
            <w:div w:id="16052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17063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12650">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21086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547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5418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ulaire.legifrance.gouv.fr/circulaire/id/45174?origin=list&amp;page=1&amp;pageSize=10&amp;sortValue=PUBLI_DATE_DESC&amp;tab_selection=a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3523440?r=3HWoN9WDYK"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jorf/id/JORFTEXT0000435674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9F6E-FBE0-4FA8-9DDB-3CDE6A1A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51</cp:revision>
  <dcterms:created xsi:type="dcterms:W3CDTF">2021-03-23T13:03:00Z</dcterms:created>
  <dcterms:modified xsi:type="dcterms:W3CDTF">2021-06-01T07:29:00Z</dcterms:modified>
</cp:coreProperties>
</file>