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A3F21" w14:textId="76B3F325" w:rsidR="00E06093" w:rsidRDefault="00A93188" w:rsidP="00F6250F">
      <w:pPr>
        <w:pStyle w:val="Titre"/>
      </w:pPr>
      <w:r>
        <w:t>Recensement des équipements sportifs, espaces et sites de pratique</w:t>
      </w:r>
      <w:r w:rsidR="00435FAB">
        <w:t xml:space="preserve"> (RES)</w:t>
      </w:r>
    </w:p>
    <w:p w14:paraId="767C0CDF" w14:textId="77777777" w:rsidR="006B3CC6" w:rsidRDefault="006B3CC6" w:rsidP="006B3CC6">
      <w:pPr>
        <w:pStyle w:val="Titre1"/>
      </w:pPr>
      <w:r>
        <w:t>PRÉSENTATION DE LA SOURCE</w:t>
      </w:r>
    </w:p>
    <w:p w14:paraId="6F743662" w14:textId="0902F51F" w:rsidR="00C8165E" w:rsidRPr="00435FAB" w:rsidRDefault="00A93188" w:rsidP="00BE0841">
      <w:pPr>
        <w:jc w:val="both"/>
        <w:rPr>
          <w:b/>
        </w:rPr>
      </w:pPr>
      <w:r w:rsidRPr="00435FAB">
        <w:rPr>
          <w:b/>
        </w:rPr>
        <w:t xml:space="preserve">Le </w:t>
      </w:r>
      <w:r w:rsidR="00967D54" w:rsidRPr="00435FAB">
        <w:rPr>
          <w:b/>
        </w:rPr>
        <w:t>Recensement des équipements sportifs, espaces et sites de pratique (</w:t>
      </w:r>
      <w:r w:rsidRPr="00435FAB">
        <w:rPr>
          <w:b/>
        </w:rPr>
        <w:t>RES</w:t>
      </w:r>
      <w:r w:rsidR="00967D54" w:rsidRPr="00435FAB">
        <w:rPr>
          <w:b/>
        </w:rPr>
        <w:t>)</w:t>
      </w:r>
      <w:r w:rsidR="00F44240" w:rsidRPr="00435FAB">
        <w:rPr>
          <w:b/>
        </w:rPr>
        <w:t xml:space="preserve"> est mis en œuvre par le ministère des Sports et</w:t>
      </w:r>
      <w:r w:rsidRPr="00435FAB">
        <w:rPr>
          <w:b/>
        </w:rPr>
        <w:t xml:space="preserve"> décrit les équipements sportifs ou sites de sport de nature </w:t>
      </w:r>
      <w:r w:rsidR="00F44240" w:rsidRPr="00435FAB">
        <w:rPr>
          <w:b/>
        </w:rPr>
        <w:t xml:space="preserve">en France </w:t>
      </w:r>
      <w:r w:rsidRPr="00435FAB">
        <w:rPr>
          <w:b/>
        </w:rPr>
        <w:t>avec comme critère essentiel que toute personne puisse y accéder à titre individuel ou via une structure publique ou privée dans le but d’y pratiquer une activité physique ou sportive.</w:t>
      </w:r>
    </w:p>
    <w:p w14:paraId="251D6E84" w14:textId="368C954A" w:rsidR="001665F9" w:rsidRDefault="00A93188" w:rsidP="00BE0841">
      <w:pPr>
        <w:jc w:val="both"/>
      </w:pPr>
      <w:r>
        <w:t xml:space="preserve">L’objectif de l’opération est de recenser tous les équipements permettant la pratique d’une activité physique ou sportive de manière exhaustive. Ces informations sont mises en ligne sur le site </w:t>
      </w:r>
      <w:hyperlink r:id="rId4" w:history="1">
        <w:r w:rsidRPr="00A93188">
          <w:rPr>
            <w:rStyle w:val="Lienhypertexte"/>
          </w:rPr>
          <w:t>equipements.sports.gouv.fr</w:t>
        </w:r>
      </w:hyperlink>
      <w:r>
        <w:t xml:space="preserve"> et permettent à n’importe qui d’avoir un aperçu des installations sportives en France et de leurs caractéristiques. </w:t>
      </w:r>
      <w:r w:rsidR="00BE0841">
        <w:t>Le RES distingue justement les installations sportives (repérées par une adresse) et les équipements sportifs qu’elles contiennent. Plus de 1</w:t>
      </w:r>
      <w:r w:rsidR="00EC6C06">
        <w:t>6</w:t>
      </w:r>
      <w:r w:rsidR="00BE0841">
        <w:t xml:space="preserve">0 types d’équipements sont recensés et regroupés en une </w:t>
      </w:r>
      <w:bookmarkStart w:id="0" w:name="_GoBack"/>
      <w:r w:rsidR="00BE0841">
        <w:t>typologie </w:t>
      </w:r>
      <w:bookmarkEnd w:id="0"/>
      <w:r w:rsidR="00BE0841">
        <w:t xml:space="preserve">: les bassins de natation et autres bassins aquatiques, les courts de tennis, les équipements extérieurs et petits terrains en accès libre, les salles de pratique collective, les terrains de grands jeux, les autres équipements sportifs (salles de bowling, pistes de kart, stades d’athlétisme, etc.) et les sites de sport de nature (la liste de tous les types d’équipement est </w:t>
      </w:r>
      <w:hyperlink r:id="rId5" w:history="1">
        <w:r w:rsidR="00BE0841" w:rsidRPr="00BE0841">
          <w:rPr>
            <w:rStyle w:val="Lienhypertexte"/>
          </w:rPr>
          <w:t>en lig</w:t>
        </w:r>
        <w:r w:rsidR="00BE0841" w:rsidRPr="00BE0841">
          <w:rPr>
            <w:rStyle w:val="Lienhypertexte"/>
          </w:rPr>
          <w:t>n</w:t>
        </w:r>
        <w:r w:rsidR="00BE0841" w:rsidRPr="00BE0841">
          <w:rPr>
            <w:rStyle w:val="Lienhypertexte"/>
          </w:rPr>
          <w:t>e</w:t>
        </w:r>
      </w:hyperlink>
      <w:r w:rsidR="00BE0841">
        <w:t>).</w:t>
      </w:r>
      <w:r>
        <w:t xml:space="preserve"> </w:t>
      </w:r>
      <w:r w:rsidR="00BE0841">
        <w:t>Ce dispositif est piloté par le ministère des</w:t>
      </w:r>
      <w:r w:rsidR="00F44240">
        <w:t xml:space="preserve"> S</w:t>
      </w:r>
      <w:r w:rsidR="00BE0841">
        <w:t xml:space="preserve">ports depuis 2006. </w:t>
      </w:r>
    </w:p>
    <w:p w14:paraId="75259684" w14:textId="77777777" w:rsidR="00F6250F" w:rsidRDefault="00F6250F" w:rsidP="00F6250F">
      <w:pPr>
        <w:pStyle w:val="Titre1"/>
      </w:pPr>
      <w:r>
        <w:t>CARACTÉRISTIQUES TECHNIQUES</w:t>
      </w:r>
    </w:p>
    <w:p w14:paraId="3E0C3A9E" w14:textId="77777777" w:rsidR="00C950FC" w:rsidRDefault="00C950FC" w:rsidP="00C950FC">
      <w:pPr>
        <w:pStyle w:val="Titre2"/>
      </w:pPr>
      <w:r>
        <w:t>NATURE DE L’OPÉRATION</w:t>
      </w:r>
    </w:p>
    <w:p w14:paraId="76319231" w14:textId="369AE374" w:rsidR="00C950FC" w:rsidRDefault="007C0BEA" w:rsidP="00BE0EC8">
      <w:pPr>
        <w:jc w:val="both"/>
      </w:pPr>
      <w:r>
        <w:t>Recensement exhaustif réalisé</w:t>
      </w:r>
      <w:r w:rsidR="00BE0EC8">
        <w:t xml:space="preserve"> dans les communes par les Directions Régionales (et Départementales) de la Jeunesse, des Sports et de la Cohésion Sociale (DR[D]JSCS)</w:t>
      </w:r>
      <w:r w:rsidR="000073DB">
        <w:t>.</w:t>
      </w:r>
    </w:p>
    <w:p w14:paraId="66C256FD" w14:textId="77777777" w:rsidR="00C950FC" w:rsidRDefault="00C950FC" w:rsidP="00C950FC">
      <w:pPr>
        <w:pStyle w:val="Titre2"/>
      </w:pPr>
      <w:r>
        <w:t>UNITÉ STATISTIQUE / CHAMP STATISTIQUE COUVERT</w:t>
      </w:r>
    </w:p>
    <w:p w14:paraId="581E6EBB" w14:textId="55197074" w:rsidR="00C950FC" w:rsidRDefault="00BE0EC8" w:rsidP="00C950FC">
      <w:r>
        <w:t>Equipements sportifs et sites de sport de nature</w:t>
      </w:r>
      <w:r w:rsidR="000073DB">
        <w:t>.</w:t>
      </w:r>
    </w:p>
    <w:p w14:paraId="228ADFD1" w14:textId="77777777" w:rsidR="00C950FC" w:rsidRDefault="006B3CC6" w:rsidP="00C950FC">
      <w:pPr>
        <w:pStyle w:val="Titre2"/>
      </w:pPr>
      <w:r>
        <w:t>ZONE</w:t>
      </w:r>
      <w:r w:rsidR="00C950FC">
        <w:t xml:space="preserve"> GÉOGRAPHIQUE</w:t>
      </w:r>
      <w:r>
        <w:t xml:space="preserve"> DE RÉFÉRENCE</w:t>
      </w:r>
    </w:p>
    <w:p w14:paraId="44B90D46" w14:textId="7E887C67" w:rsidR="00C950FC" w:rsidRDefault="00C950FC" w:rsidP="00C950FC">
      <w:r>
        <w:t xml:space="preserve">France </w:t>
      </w:r>
      <w:r w:rsidR="00BE0EC8">
        <w:t>DROM-COM compris</w:t>
      </w:r>
      <w:r w:rsidR="000073DB">
        <w:t>.</w:t>
      </w:r>
    </w:p>
    <w:p w14:paraId="0A3F00B0" w14:textId="77777777" w:rsidR="009F6A3F" w:rsidRDefault="009F6A3F" w:rsidP="009364E9">
      <w:pPr>
        <w:pStyle w:val="Titre2"/>
      </w:pPr>
      <w:r>
        <w:t>TAILLE DES DONNÉES</w:t>
      </w:r>
    </w:p>
    <w:p w14:paraId="2E0A13A4" w14:textId="568D1C6E" w:rsidR="009364E9" w:rsidRDefault="00BE0EC8" w:rsidP="00C950FC">
      <w:r>
        <w:t>Plus de 300 000 équipements et sites de sport de nature</w:t>
      </w:r>
      <w:r w:rsidR="000073DB">
        <w:t>.</w:t>
      </w:r>
    </w:p>
    <w:p w14:paraId="53A03ACA" w14:textId="77777777" w:rsidR="00F6250F" w:rsidRDefault="00F6250F" w:rsidP="00F6250F">
      <w:pPr>
        <w:pStyle w:val="Titre2"/>
      </w:pPr>
      <w:r>
        <w:t xml:space="preserve">PÉRIODICITÉ DE </w:t>
      </w:r>
      <w:r w:rsidR="00C950FC">
        <w:t>l’OPÉRATION</w:t>
      </w:r>
    </w:p>
    <w:p w14:paraId="44FC4AC6" w14:textId="60D8041E" w:rsidR="00F6250F" w:rsidRDefault="00967D54" w:rsidP="00F6250F">
      <w:r>
        <w:t xml:space="preserve">Le recensement est réalisé suivant un cycle de </w:t>
      </w:r>
      <w:r w:rsidR="00BE0EC8">
        <w:t>4 ans selon un programme pluriannuel élaboré par les DR</w:t>
      </w:r>
      <w:r>
        <w:t>[</w:t>
      </w:r>
      <w:r w:rsidR="00BE0EC8">
        <w:t>D</w:t>
      </w:r>
      <w:r>
        <w:t>]</w:t>
      </w:r>
      <w:r w:rsidR="00BE0EC8">
        <w:t>JSCS en collaboration avec la direction des sports</w:t>
      </w:r>
      <w:r w:rsidR="000073DB">
        <w:t>.</w:t>
      </w:r>
    </w:p>
    <w:p w14:paraId="1DCD5D48" w14:textId="4D1102C8" w:rsidR="006B3CC6" w:rsidRDefault="00F6250F" w:rsidP="006B3CC6">
      <w:pPr>
        <w:pStyle w:val="Titre2"/>
      </w:pPr>
      <w:r>
        <w:t>COUVERT</w:t>
      </w:r>
      <w:r w:rsidR="006B3CC6">
        <w:t>UR</w:t>
      </w:r>
      <w:r>
        <w:t>E</w:t>
      </w:r>
      <w:r w:rsidR="006B3CC6">
        <w:t xml:space="preserve"> TEMPORELLE</w:t>
      </w:r>
    </w:p>
    <w:p w14:paraId="51B7B63C" w14:textId="5A22CF6A" w:rsidR="00641402" w:rsidRDefault="00BE0EC8" w:rsidP="00F6250F">
      <w:r>
        <w:t>Les données sont actu</w:t>
      </w:r>
      <w:r w:rsidR="000073DB">
        <w:t xml:space="preserve">alisées chaque année et correspondent aux équipements sportifs et sites de sport de nature </w:t>
      </w:r>
      <w:r w:rsidR="00967D54">
        <w:t xml:space="preserve">recensés </w:t>
      </w:r>
      <w:r w:rsidR="000073DB">
        <w:t>à la date précisée.</w:t>
      </w:r>
    </w:p>
    <w:p w14:paraId="58308EDB" w14:textId="4D563482" w:rsidR="00F6250F" w:rsidRDefault="00102947" w:rsidP="00F6250F">
      <w:r>
        <w:lastRenderedPageBreak/>
        <w:t>L’historique des données est disponible sur le</w:t>
      </w:r>
      <w:r w:rsidR="000073DB">
        <w:t xml:space="preserve"> site </w:t>
      </w:r>
      <w:hyperlink r:id="rId6" w:history="1">
        <w:r w:rsidR="000073DB" w:rsidRPr="000073DB">
          <w:rPr>
            <w:rStyle w:val="Lienhypertexte"/>
          </w:rPr>
          <w:t>data.gouv.fr</w:t>
        </w:r>
      </w:hyperlink>
      <w:r w:rsidR="000073DB">
        <w:t>.</w:t>
      </w:r>
    </w:p>
    <w:p w14:paraId="59E54E0F" w14:textId="3F2B8AA7" w:rsidR="001665F9" w:rsidRDefault="001665F9" w:rsidP="001665F9">
      <w:pPr>
        <w:pStyle w:val="Titre2"/>
      </w:pPr>
      <w:r>
        <w:t>AUTRES</w:t>
      </w:r>
      <w:r w:rsidR="00641402">
        <w:t xml:space="preserve"> ÉLÉMENTS TECHNIQUES</w:t>
      </w:r>
    </w:p>
    <w:p w14:paraId="4CF081DF" w14:textId="44A90BBF" w:rsidR="001665F9" w:rsidRPr="001665F9" w:rsidRDefault="004A2621" w:rsidP="001665F9">
      <w:r>
        <w:t>L</w:t>
      </w:r>
      <w:r w:rsidR="00967D54">
        <w:t xml:space="preserve">a </w:t>
      </w:r>
      <w:r>
        <w:t xml:space="preserve">collecte des données est </w:t>
      </w:r>
      <w:r w:rsidR="00830B51">
        <w:t xml:space="preserve">mise en œuvre </w:t>
      </w:r>
      <w:r>
        <w:t>au niveau de chaque région par la DR[D]JSCS qui constituent des équipes d’enquêteur dédiées. Pour la collecte, les enquêteurs disposent d’une interface dédiée à la collecte des données</w:t>
      </w:r>
      <w:r w:rsidR="009D4519">
        <w:t>.</w:t>
      </w:r>
      <w:r>
        <w:t xml:space="preserve"> </w:t>
      </w:r>
    </w:p>
    <w:p w14:paraId="41B31B7B" w14:textId="77777777" w:rsidR="009F6A3F" w:rsidRDefault="009F6A3F" w:rsidP="009F6A3F">
      <w:pPr>
        <w:pStyle w:val="Titre1"/>
      </w:pPr>
      <w:r>
        <w:t>SERVICE PRODUCTEUR ET DIFFUSION</w:t>
      </w:r>
    </w:p>
    <w:p w14:paraId="0F3224DD" w14:textId="77777777" w:rsidR="009F6A3F" w:rsidRDefault="009F6A3F" w:rsidP="009F6A3F">
      <w:pPr>
        <w:pStyle w:val="Titre2"/>
      </w:pPr>
      <w:r>
        <w:t>SERVICE(S) PRODUCTEURS(S)</w:t>
      </w:r>
    </w:p>
    <w:p w14:paraId="11BCEA56" w14:textId="20EEFED7" w:rsidR="001665F9" w:rsidRPr="009F6A3F" w:rsidRDefault="00E724A5" w:rsidP="009F6A3F">
      <w:r>
        <w:t>Ministère des Sports en partenariat avec les services de l’Etat, le mouvement sportif, les collectivités territoriales et les propriétaires d’équipements sportifs.</w:t>
      </w:r>
    </w:p>
    <w:p w14:paraId="177693A0" w14:textId="77777777" w:rsidR="006B3CC6" w:rsidRDefault="009F6A3F" w:rsidP="006B3CC6">
      <w:pPr>
        <w:pStyle w:val="Titre2"/>
      </w:pPr>
      <w:r>
        <w:t>DIFFUSION</w:t>
      </w:r>
      <w:r w:rsidR="006B3CC6">
        <w:t xml:space="preserve"> DES DONNÉES</w:t>
      </w:r>
    </w:p>
    <w:p w14:paraId="5BD45661" w14:textId="12A32FFD" w:rsidR="00830B51" w:rsidRDefault="00830B51" w:rsidP="006B3CC6">
      <w:r>
        <w:t xml:space="preserve">Données disponibles sur le portail dédié : </w:t>
      </w:r>
      <w:hyperlink r:id="rId7" w:history="1">
        <w:r>
          <w:rPr>
            <w:rStyle w:val="Lienhypertexte"/>
          </w:rPr>
          <w:t>equipements.sports.gouv.fr</w:t>
        </w:r>
      </w:hyperlink>
      <w:r>
        <w:t xml:space="preserve"> ainsi que sur </w:t>
      </w:r>
      <w:hyperlink r:id="rId8" w:history="1">
        <w:r>
          <w:rPr>
            <w:rStyle w:val="Lienhypertexte"/>
          </w:rPr>
          <w:t>data.gouv.fr/</w:t>
        </w:r>
      </w:hyperlink>
      <w:r>
        <w:t>.</w:t>
      </w:r>
    </w:p>
    <w:p w14:paraId="1230A969" w14:textId="77777777" w:rsidR="001665F9" w:rsidRDefault="001665F9" w:rsidP="001665F9">
      <w:pPr>
        <w:pStyle w:val="Titre2"/>
      </w:pPr>
      <w:r>
        <w:t>CITATION DE LA SOURCE</w:t>
      </w:r>
    </w:p>
    <w:p w14:paraId="6FDFCFD3" w14:textId="37843A44" w:rsidR="001665F9" w:rsidRDefault="00E724A5" w:rsidP="001665F9">
      <w:r>
        <w:t xml:space="preserve">Source : </w:t>
      </w:r>
      <w:r w:rsidR="00643189">
        <w:t>Ministère</w:t>
      </w:r>
      <w:r w:rsidR="00B3772C">
        <w:t xml:space="preserve"> chargé</w:t>
      </w:r>
      <w:r w:rsidR="00643189">
        <w:t xml:space="preserve"> des sports, </w:t>
      </w:r>
      <w:r>
        <w:t>RES, situation au XXX</w:t>
      </w:r>
      <w:r w:rsidR="00643189">
        <w:t>.</w:t>
      </w:r>
      <w:r>
        <w:br/>
        <w:t>Champ : France entière</w:t>
      </w:r>
    </w:p>
    <w:p w14:paraId="7834B1B5" w14:textId="0508B38C" w:rsidR="001665F9" w:rsidRDefault="001665F9" w:rsidP="001665F9">
      <w:pPr>
        <w:pStyle w:val="Titre2"/>
      </w:pPr>
      <w:r>
        <w:t xml:space="preserve">STATISTIQUE PUBLIQUE </w:t>
      </w:r>
    </w:p>
    <w:p w14:paraId="33EBD18E" w14:textId="05E46253" w:rsidR="00F6250F" w:rsidRDefault="00830B51" w:rsidP="00830B51">
      <w:r>
        <w:t xml:space="preserve">Le RES a fait l’objet d’une demande </w:t>
      </w:r>
      <w:r w:rsidRPr="00830B51">
        <w:t>d’accès à des sources administratives au titre de l’article 7bis de la loi de 1951</w:t>
      </w:r>
      <w:r>
        <w:t xml:space="preserve"> par l’INJEP </w:t>
      </w:r>
      <w:r w:rsidR="00333E95">
        <w:t xml:space="preserve"> (voir sur le site du </w:t>
      </w:r>
      <w:hyperlink r:id="rId9" w:history="1">
        <w:r w:rsidR="00333E95">
          <w:rPr>
            <w:rStyle w:val="Lienhypertexte"/>
          </w:rPr>
          <w:t>Cnis</w:t>
        </w:r>
      </w:hyperlink>
      <w:r w:rsidR="00333E95">
        <w:t xml:space="preserve">). </w:t>
      </w:r>
      <w:r>
        <w:t>Le RES alimente également la Base permanente des équipements (BPE) de l’INSEE</w:t>
      </w:r>
      <w:r w:rsidR="00333E95">
        <w:t xml:space="preserve"> (</w:t>
      </w:r>
      <w:hyperlink r:id="rId10" w:history="1">
        <w:r w:rsidRPr="00FD56B8">
          <w:rPr>
            <w:rStyle w:val="Lienhypertexte"/>
          </w:rPr>
          <w:t>https://www.insee.fr/fr/statistiques/3568650</w:t>
        </w:r>
      </w:hyperlink>
      <w:r w:rsidR="00333E95">
        <w:t>).</w:t>
      </w:r>
    </w:p>
    <w:sectPr w:rsidR="00F62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36"/>
    <w:rsid w:val="000073DB"/>
    <w:rsid w:val="00102947"/>
    <w:rsid w:val="001665F9"/>
    <w:rsid w:val="001922D4"/>
    <w:rsid w:val="002B7F44"/>
    <w:rsid w:val="00326936"/>
    <w:rsid w:val="00333E95"/>
    <w:rsid w:val="00343EDE"/>
    <w:rsid w:val="00435FAB"/>
    <w:rsid w:val="004A2621"/>
    <w:rsid w:val="004D5D37"/>
    <w:rsid w:val="005A66BE"/>
    <w:rsid w:val="00641402"/>
    <w:rsid w:val="00643189"/>
    <w:rsid w:val="006B3CC6"/>
    <w:rsid w:val="007B00A2"/>
    <w:rsid w:val="007C0BEA"/>
    <w:rsid w:val="00830B51"/>
    <w:rsid w:val="008347C3"/>
    <w:rsid w:val="008640FB"/>
    <w:rsid w:val="009364E9"/>
    <w:rsid w:val="00967D54"/>
    <w:rsid w:val="009D4519"/>
    <w:rsid w:val="009F6A3F"/>
    <w:rsid w:val="00A07C11"/>
    <w:rsid w:val="00A44B60"/>
    <w:rsid w:val="00A93188"/>
    <w:rsid w:val="00B3772C"/>
    <w:rsid w:val="00BE0841"/>
    <w:rsid w:val="00BE0EC8"/>
    <w:rsid w:val="00C73FB9"/>
    <w:rsid w:val="00C8165E"/>
    <w:rsid w:val="00C950FC"/>
    <w:rsid w:val="00DA3A10"/>
    <w:rsid w:val="00E06093"/>
    <w:rsid w:val="00E724A5"/>
    <w:rsid w:val="00EC6C06"/>
    <w:rsid w:val="00F10AA5"/>
    <w:rsid w:val="00F44240"/>
    <w:rsid w:val="00F62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AA4E"/>
  <w15:docId w15:val="{3649B7F8-5CC8-4A33-8F96-761E4EF8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269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25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693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6250F"/>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625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6250F"/>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uiPriority w:val="99"/>
    <w:semiHidden/>
    <w:unhideWhenUsed/>
    <w:rsid w:val="00C950FC"/>
    <w:rPr>
      <w:sz w:val="16"/>
      <w:szCs w:val="16"/>
    </w:rPr>
  </w:style>
  <w:style w:type="paragraph" w:styleId="Commentaire">
    <w:name w:val="annotation text"/>
    <w:basedOn w:val="Normal"/>
    <w:link w:val="CommentaireCar"/>
    <w:uiPriority w:val="99"/>
    <w:semiHidden/>
    <w:unhideWhenUsed/>
    <w:rsid w:val="00C950FC"/>
    <w:pPr>
      <w:spacing w:line="240" w:lineRule="auto"/>
    </w:pPr>
    <w:rPr>
      <w:sz w:val="20"/>
      <w:szCs w:val="20"/>
    </w:rPr>
  </w:style>
  <w:style w:type="character" w:customStyle="1" w:styleId="CommentaireCar">
    <w:name w:val="Commentaire Car"/>
    <w:basedOn w:val="Policepardfaut"/>
    <w:link w:val="Commentaire"/>
    <w:uiPriority w:val="99"/>
    <w:semiHidden/>
    <w:rsid w:val="00C950FC"/>
    <w:rPr>
      <w:sz w:val="20"/>
      <w:szCs w:val="20"/>
    </w:rPr>
  </w:style>
  <w:style w:type="paragraph" w:styleId="Objetducommentaire">
    <w:name w:val="annotation subject"/>
    <w:basedOn w:val="Commentaire"/>
    <w:next w:val="Commentaire"/>
    <w:link w:val="ObjetducommentaireCar"/>
    <w:uiPriority w:val="99"/>
    <w:semiHidden/>
    <w:unhideWhenUsed/>
    <w:rsid w:val="00C950FC"/>
    <w:rPr>
      <w:b/>
      <w:bCs/>
    </w:rPr>
  </w:style>
  <w:style w:type="character" w:customStyle="1" w:styleId="ObjetducommentaireCar">
    <w:name w:val="Objet du commentaire Car"/>
    <w:basedOn w:val="CommentaireCar"/>
    <w:link w:val="Objetducommentaire"/>
    <w:uiPriority w:val="99"/>
    <w:semiHidden/>
    <w:rsid w:val="00C950FC"/>
    <w:rPr>
      <w:b/>
      <w:bCs/>
      <w:sz w:val="20"/>
      <w:szCs w:val="20"/>
    </w:rPr>
  </w:style>
  <w:style w:type="paragraph" w:styleId="Textedebulles">
    <w:name w:val="Balloon Text"/>
    <w:basedOn w:val="Normal"/>
    <w:link w:val="TextedebullesCar"/>
    <w:uiPriority w:val="99"/>
    <w:semiHidden/>
    <w:unhideWhenUsed/>
    <w:rsid w:val="00C950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0FC"/>
    <w:rPr>
      <w:rFonts w:ascii="Tahoma" w:hAnsi="Tahoma" w:cs="Tahoma"/>
      <w:sz w:val="16"/>
      <w:szCs w:val="16"/>
    </w:rPr>
  </w:style>
  <w:style w:type="character" w:styleId="Lienhypertexte">
    <w:name w:val="Hyperlink"/>
    <w:basedOn w:val="Policepardfaut"/>
    <w:uiPriority w:val="99"/>
    <w:unhideWhenUsed/>
    <w:rsid w:val="008347C3"/>
    <w:rPr>
      <w:color w:val="0000FF"/>
      <w:u w:val="single"/>
    </w:rPr>
  </w:style>
  <w:style w:type="character" w:styleId="Lienhypertextesuivivisit">
    <w:name w:val="FollowedHyperlink"/>
    <w:basedOn w:val="Policepardfaut"/>
    <w:uiPriority w:val="99"/>
    <w:semiHidden/>
    <w:unhideWhenUsed/>
    <w:rsid w:val="00A93188"/>
    <w:rPr>
      <w:color w:val="800080" w:themeColor="followedHyperlink"/>
      <w:u w:val="single"/>
    </w:rPr>
  </w:style>
  <w:style w:type="paragraph" w:styleId="Rvision">
    <w:name w:val="Revision"/>
    <w:hidden/>
    <w:uiPriority w:val="99"/>
    <w:semiHidden/>
    <w:rsid w:val="00830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1299">
      <w:bodyDiv w:val="1"/>
      <w:marLeft w:val="0"/>
      <w:marRight w:val="0"/>
      <w:marTop w:val="0"/>
      <w:marBottom w:val="0"/>
      <w:divBdr>
        <w:top w:val="none" w:sz="0" w:space="0" w:color="auto"/>
        <w:left w:val="none" w:sz="0" w:space="0" w:color="auto"/>
        <w:bottom w:val="none" w:sz="0" w:space="0" w:color="auto"/>
        <w:right w:val="none" w:sz="0" w:space="0" w:color="auto"/>
      </w:divBdr>
      <w:divsChild>
        <w:div w:id="1168596294">
          <w:marLeft w:val="0"/>
          <w:marRight w:val="0"/>
          <w:marTop w:val="0"/>
          <w:marBottom w:val="0"/>
          <w:divBdr>
            <w:top w:val="none" w:sz="0" w:space="0" w:color="auto"/>
            <w:left w:val="none" w:sz="0" w:space="0" w:color="auto"/>
            <w:bottom w:val="none" w:sz="0" w:space="0" w:color="auto"/>
            <w:right w:val="none" w:sz="0" w:space="0" w:color="auto"/>
          </w:divBdr>
        </w:div>
        <w:div w:id="1540706029">
          <w:marLeft w:val="0"/>
          <w:marRight w:val="0"/>
          <w:marTop w:val="0"/>
          <w:marBottom w:val="0"/>
          <w:divBdr>
            <w:top w:val="none" w:sz="0" w:space="0" w:color="auto"/>
            <w:left w:val="none" w:sz="0" w:space="0" w:color="auto"/>
            <w:bottom w:val="none" w:sz="0" w:space="0" w:color="auto"/>
            <w:right w:val="none" w:sz="0" w:space="0" w:color="auto"/>
          </w:divBdr>
        </w:div>
        <w:div w:id="181742535">
          <w:marLeft w:val="0"/>
          <w:marRight w:val="0"/>
          <w:marTop w:val="0"/>
          <w:marBottom w:val="0"/>
          <w:divBdr>
            <w:top w:val="none" w:sz="0" w:space="0" w:color="auto"/>
            <w:left w:val="none" w:sz="0" w:space="0" w:color="auto"/>
            <w:bottom w:val="none" w:sz="0" w:space="0" w:color="auto"/>
            <w:right w:val="none" w:sz="0" w:space="0" w:color="auto"/>
          </w:divBdr>
        </w:div>
        <w:div w:id="182789688">
          <w:marLeft w:val="0"/>
          <w:marRight w:val="0"/>
          <w:marTop w:val="0"/>
          <w:marBottom w:val="0"/>
          <w:divBdr>
            <w:top w:val="none" w:sz="0" w:space="0" w:color="auto"/>
            <w:left w:val="none" w:sz="0" w:space="0" w:color="auto"/>
            <w:bottom w:val="none" w:sz="0" w:space="0" w:color="auto"/>
            <w:right w:val="none" w:sz="0" w:space="0" w:color="auto"/>
          </w:divBdr>
        </w:div>
        <w:div w:id="138105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gouv.fr/fr/datasets/recensement-des-equipements-sportifs-espaces-et-sites-de-pratiques/" TargetMode="External"/><Relationship Id="rId3" Type="http://schemas.openxmlformats.org/officeDocument/2006/relationships/webSettings" Target="webSettings.xml"/><Relationship Id="rId7" Type="http://schemas.openxmlformats.org/officeDocument/2006/relationships/hyperlink" Target="https://equipements.sports.gouv.fr/pages/accuei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a.gouv.fr/fr/datasets/recensement-des-equipements-sportifs-espaces-et-sites-de-pratiques/" TargetMode="External"/><Relationship Id="rId11" Type="http://schemas.openxmlformats.org/officeDocument/2006/relationships/fontTable" Target="fontTable.xml"/><Relationship Id="rId5" Type="http://schemas.openxmlformats.org/officeDocument/2006/relationships/hyperlink" Target="https://injep.fr/wp-content/uploads/2020/05/Donne%CC%81es-lieux-de-la-pratique-sportive.xlsx" TargetMode="External"/><Relationship Id="rId10" Type="http://schemas.openxmlformats.org/officeDocument/2006/relationships/hyperlink" Target="https://www.insee.fr/fr/statistiques/3568650" TargetMode="External"/><Relationship Id="rId4" Type="http://schemas.openxmlformats.org/officeDocument/2006/relationships/hyperlink" Target="https://equipements.sports.gouv.fr/pages/accueil/" TargetMode="External"/><Relationship Id="rId9" Type="http://schemas.openxmlformats.org/officeDocument/2006/relationships/hyperlink" Target="https://www.cnis.fr/wp-content/uploads/2019/01/DPR_2019_1re-reunion_ComDemo_demande_acces_donnees_administratives_article_7bi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620</Words>
  <Characters>3416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LEFEBVRE, Geoffrey (DJEPVA/INJEP/MEDES)</dc:creator>
  <cp:lastModifiedBy>JULIE MOLNAR</cp:lastModifiedBy>
  <cp:revision>10</cp:revision>
  <dcterms:created xsi:type="dcterms:W3CDTF">2020-06-16T08:40:00Z</dcterms:created>
  <dcterms:modified xsi:type="dcterms:W3CDTF">2021-08-25T13:19:00Z</dcterms:modified>
</cp:coreProperties>
</file>