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349899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4F13E7">
        <w:rPr>
          <w:b/>
        </w:rPr>
        <w:t>5</w:t>
      </w:r>
      <w:r w:rsidR="00D42A0F">
        <w:rPr>
          <w:b/>
        </w:rPr>
        <w:t xml:space="preserve"> du </w:t>
      </w:r>
      <w:r w:rsidR="004F13E7">
        <w:rPr>
          <w:b/>
        </w:rPr>
        <w:t>12 janvier</w:t>
      </w:r>
      <w:r w:rsidR="00D42A0F">
        <w:rPr>
          <w:b/>
        </w:rPr>
        <w:t xml:space="preserve"> </w:t>
      </w:r>
      <w:r w:rsidR="0072136B">
        <w:rPr>
          <w:b/>
        </w:rPr>
        <w:t>202</w:t>
      </w:r>
      <w:r w:rsidR="004F13E7">
        <w:rPr>
          <w:b/>
        </w:rPr>
        <w:t>2</w:t>
      </w:r>
    </w:p>
    <w:p w:rsidR="004F13E7" w:rsidRDefault="005A5CD2" w:rsidP="005A5CD2">
      <w:pPr>
        <w:pStyle w:val="Titre1"/>
        <w:shd w:val="clear" w:color="auto" w:fill="FFFFFF"/>
        <w:spacing w:before="0" w:after="75"/>
        <w:jc w:val="center"/>
        <w:rPr>
          <w:rFonts w:asciiTheme="minorHAnsi" w:hAnsiTheme="minorHAnsi" w:cstheme="minorHAnsi"/>
          <w:b/>
          <w:bCs/>
          <w:color w:val="auto"/>
          <w:sz w:val="22"/>
          <w:szCs w:val="22"/>
        </w:rPr>
      </w:pPr>
      <w:r w:rsidRPr="005A5CD2">
        <w:rPr>
          <w:rFonts w:asciiTheme="minorHAnsi" w:hAnsiTheme="minorHAnsi" w:cstheme="minorHAnsi"/>
          <w:b/>
          <w:bCs/>
          <w:color w:val="auto"/>
          <w:sz w:val="22"/>
          <w:szCs w:val="22"/>
        </w:rPr>
        <w:t>Education en outre-mer et enseignement supérieur : 2 décrets et 1 arrêté</w:t>
      </w:r>
    </w:p>
    <w:p w:rsidR="005A5CD2" w:rsidRDefault="005A5CD2" w:rsidP="005A5CD2"/>
    <w:p w:rsidR="005A5CD2" w:rsidRPr="005A5CD2" w:rsidRDefault="005A5CD2" w:rsidP="005A5CD2">
      <w:pPr>
        <w:rPr>
          <w:b/>
        </w:rPr>
      </w:pPr>
      <w:r w:rsidRPr="005A5CD2">
        <w:rPr>
          <w:b/>
        </w:rPr>
        <w:t>Education</w:t>
      </w:r>
    </w:p>
    <w:p w:rsidR="004F13E7" w:rsidRDefault="00914D18" w:rsidP="004F13E7">
      <w:pPr>
        <w:pStyle w:val="Titre1"/>
        <w:shd w:val="clear" w:color="auto" w:fill="FFFFFF"/>
        <w:spacing w:before="0" w:after="75"/>
        <w:rPr>
          <w:rFonts w:asciiTheme="minorHAnsi" w:hAnsiTheme="minorHAnsi" w:cstheme="minorHAnsi"/>
          <w:bCs/>
          <w:color w:val="auto"/>
          <w:sz w:val="22"/>
          <w:szCs w:val="22"/>
        </w:rPr>
      </w:pPr>
      <w:hyperlink r:id="rId10" w:history="1">
        <w:r w:rsidR="004F13E7" w:rsidRPr="004F13E7">
          <w:rPr>
            <w:rStyle w:val="Lienhypertexte"/>
            <w:rFonts w:asciiTheme="minorHAnsi" w:hAnsiTheme="minorHAnsi" w:cstheme="minorHAnsi"/>
            <w:bCs/>
            <w:sz w:val="22"/>
            <w:szCs w:val="22"/>
          </w:rPr>
          <w:t>Décret n° 2021-1907 du 30 décembre 2021</w:t>
        </w:r>
      </w:hyperlink>
      <w:r w:rsidR="004F13E7" w:rsidRPr="004F13E7">
        <w:rPr>
          <w:rFonts w:asciiTheme="minorHAnsi" w:hAnsiTheme="minorHAnsi" w:cstheme="minorHAnsi"/>
          <w:bCs/>
          <w:color w:val="auto"/>
          <w:sz w:val="22"/>
          <w:szCs w:val="22"/>
        </w:rPr>
        <w:t xml:space="preserve"> portant actualisation et adaptation de dispositions du code de l'éducation relatives à l'outre-mer</w:t>
      </w:r>
    </w:p>
    <w:p w:rsidR="004F13E7" w:rsidRDefault="004F13E7" w:rsidP="004F13E7">
      <w:r>
        <w:t>Journal officiel du 31 décembre 2021</w:t>
      </w:r>
    </w:p>
    <w:p w:rsidR="004F13E7" w:rsidRPr="004F13E7" w:rsidRDefault="00914D18" w:rsidP="004F13E7">
      <w:pPr>
        <w:pStyle w:val="NormalWeb"/>
        <w:shd w:val="clear" w:color="auto" w:fill="FFFFFF"/>
        <w:rPr>
          <w:rFonts w:asciiTheme="minorHAnsi" w:hAnsiTheme="minorHAnsi" w:cstheme="minorHAnsi"/>
          <w:sz w:val="22"/>
          <w:szCs w:val="22"/>
        </w:rPr>
      </w:pPr>
      <w:hyperlink r:id="rId11" w:history="1">
        <w:r w:rsidR="004F13E7" w:rsidRPr="004F13E7">
          <w:rPr>
            <w:rStyle w:val="Lienhypertexte"/>
            <w:rFonts w:asciiTheme="minorHAnsi" w:hAnsiTheme="minorHAnsi" w:cstheme="minorHAnsi"/>
            <w:b/>
            <w:bCs/>
            <w:color w:val="auto"/>
            <w:sz w:val="22"/>
            <w:szCs w:val="22"/>
            <w:shd w:val="clear" w:color="auto" w:fill="FFFFFF"/>
          </w:rPr>
          <w:t>Article 1</w:t>
        </w:r>
      </w:hyperlink>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Le titre VI du livre Ier de la première partie du code de l'éducation est remplacé par les dispositions suivantes :</w:t>
      </w:r>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 Titre VI</w:t>
      </w:r>
      <w:r w:rsidRPr="004F13E7">
        <w:rPr>
          <w:rFonts w:asciiTheme="minorHAnsi" w:hAnsiTheme="minorHAnsi" w:cstheme="minorHAnsi"/>
          <w:color w:val="000000"/>
          <w:sz w:val="22"/>
          <w:szCs w:val="22"/>
        </w:rPr>
        <w:br/>
        <w:t>« DISPOSITIONS RELATIVES À L'OUTRE-MER</w:t>
      </w:r>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 Chapitre Ier</w:t>
      </w:r>
      <w:r w:rsidRPr="004F13E7">
        <w:rPr>
          <w:rFonts w:asciiTheme="minorHAnsi" w:hAnsiTheme="minorHAnsi" w:cstheme="minorHAnsi"/>
          <w:color w:val="000000"/>
          <w:sz w:val="22"/>
          <w:szCs w:val="22"/>
        </w:rPr>
        <w:br/>
        <w:t>« Guadeloupe, Guyane, Martinique, La Réunion, Mayotte</w:t>
      </w:r>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 Section 1</w:t>
      </w:r>
      <w:r w:rsidRPr="004F13E7">
        <w:rPr>
          <w:rFonts w:asciiTheme="minorHAnsi" w:hAnsiTheme="minorHAnsi" w:cstheme="minorHAnsi"/>
          <w:color w:val="000000"/>
          <w:sz w:val="22"/>
          <w:szCs w:val="22"/>
        </w:rPr>
        <w:br/>
        <w:t>« Dispositions générales</w:t>
      </w:r>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 Art. R. 161-1. - Pour leur application en Guadeloupe, en Guyane, en Martinique, à La Réunion et à Mayotte, les dispositions du présent livre font l'objet des adaptations prévues au présent chapitre.</w:t>
      </w:r>
    </w:p>
    <w:p w:rsidR="004F13E7" w:rsidRPr="004F13E7" w:rsidRDefault="004F13E7" w:rsidP="004F13E7">
      <w:pPr>
        <w:pStyle w:val="NormalWeb"/>
        <w:shd w:val="clear" w:color="auto" w:fill="FFFFFF"/>
        <w:rPr>
          <w:rFonts w:asciiTheme="minorHAnsi" w:hAnsiTheme="minorHAnsi" w:cstheme="minorHAnsi"/>
          <w:color w:val="000000"/>
          <w:sz w:val="22"/>
          <w:szCs w:val="22"/>
        </w:rPr>
      </w:pPr>
      <w:r w:rsidRPr="004F13E7">
        <w:rPr>
          <w:rFonts w:asciiTheme="minorHAnsi" w:hAnsiTheme="minorHAnsi" w:cstheme="minorHAnsi"/>
          <w:color w:val="000000"/>
          <w:sz w:val="22"/>
          <w:szCs w:val="22"/>
        </w:rPr>
        <w:t>« Art. R. 161-3. - Au </w:t>
      </w:r>
      <w:hyperlink r:id="rId12" w:tooltip="Code de l" w:history="1">
        <w:r w:rsidRPr="004F13E7">
          <w:rPr>
            <w:rStyle w:val="Lienhypertexte"/>
            <w:rFonts w:asciiTheme="minorHAnsi" w:hAnsiTheme="minorHAnsi" w:cstheme="minorHAnsi"/>
            <w:color w:val="4A5E81"/>
            <w:sz w:val="22"/>
            <w:szCs w:val="22"/>
          </w:rPr>
          <w:t>3° de l'article R. 114-2 du code de l'éducation</w:t>
        </w:r>
      </w:hyperlink>
      <w:r w:rsidRPr="004F13E7">
        <w:rPr>
          <w:rFonts w:asciiTheme="minorHAnsi" w:hAnsiTheme="minorHAnsi" w:cstheme="minorHAnsi"/>
          <w:color w:val="000000"/>
          <w:sz w:val="22"/>
          <w:szCs w:val="22"/>
        </w:rPr>
        <w:t>, les mots : “contrat de volontariat pour l'insertion défini à l'</w:t>
      </w:r>
      <w:hyperlink r:id="rId13" w:tooltip="Code du service national - art. L130-1 (M)" w:history="1">
        <w:r w:rsidRPr="004F13E7">
          <w:rPr>
            <w:rStyle w:val="Lienhypertexte"/>
            <w:rFonts w:asciiTheme="minorHAnsi" w:hAnsiTheme="minorHAnsi" w:cstheme="minorHAnsi"/>
            <w:color w:val="4A5E81"/>
            <w:sz w:val="22"/>
            <w:szCs w:val="22"/>
          </w:rPr>
          <w:t>article L. 130-1 du code du service national</w:t>
        </w:r>
      </w:hyperlink>
      <w:r w:rsidRPr="004F13E7">
        <w:rPr>
          <w:rFonts w:asciiTheme="minorHAnsi" w:hAnsiTheme="minorHAnsi" w:cstheme="minorHAnsi"/>
          <w:color w:val="000000"/>
          <w:sz w:val="22"/>
          <w:szCs w:val="22"/>
        </w:rPr>
        <w:t>” sont remplacés par les mots : “contrat de volontaire stagiaire du service militaire adapté défini à l'</w:t>
      </w:r>
      <w:hyperlink r:id="rId14" w:tooltip="Code de la défense. - art. L4132-12 (V)" w:history="1">
        <w:r w:rsidRPr="004F13E7">
          <w:rPr>
            <w:rStyle w:val="Lienhypertexte"/>
            <w:rFonts w:asciiTheme="minorHAnsi" w:hAnsiTheme="minorHAnsi" w:cstheme="minorHAnsi"/>
            <w:color w:val="4A5E81"/>
            <w:sz w:val="22"/>
            <w:szCs w:val="22"/>
          </w:rPr>
          <w:t>article L. 4132-12 du code de la défense</w:t>
        </w:r>
      </w:hyperlink>
      <w:r>
        <w:rPr>
          <w:rFonts w:asciiTheme="minorHAnsi" w:hAnsiTheme="minorHAnsi" w:cstheme="minorHAnsi"/>
          <w:color w:val="000000"/>
          <w:sz w:val="22"/>
          <w:szCs w:val="22"/>
        </w:rPr>
        <w:t> »</w:t>
      </w:r>
      <w:r w:rsidRPr="004F13E7">
        <w:rPr>
          <w:rFonts w:asciiTheme="minorHAnsi" w:hAnsiTheme="minorHAnsi" w:cstheme="minorHAnsi"/>
          <w:color w:val="000000"/>
          <w:sz w:val="22"/>
          <w:szCs w:val="22"/>
        </w:rPr>
        <w:t>.</w:t>
      </w:r>
    </w:p>
    <w:p w:rsidR="004F13E7" w:rsidRDefault="004F13E7">
      <w:pPr>
        <w:spacing w:after="160" w:line="259" w:lineRule="auto"/>
        <w:rPr>
          <w:b/>
        </w:rPr>
      </w:pPr>
      <w:r>
        <w:rPr>
          <w:b/>
        </w:rPr>
        <w:br w:type="page"/>
      </w:r>
    </w:p>
    <w:p w:rsidR="002B6183" w:rsidRPr="002B6183" w:rsidRDefault="002B6183" w:rsidP="002B6183">
      <w:pPr>
        <w:pStyle w:val="Titre1"/>
        <w:shd w:val="clear" w:color="auto" w:fill="FFFFFF"/>
        <w:spacing w:before="0" w:after="75"/>
        <w:rPr>
          <w:rFonts w:asciiTheme="minorHAnsi" w:hAnsiTheme="minorHAnsi" w:cstheme="minorHAnsi"/>
          <w:color w:val="auto"/>
          <w:sz w:val="22"/>
          <w:szCs w:val="22"/>
        </w:rPr>
      </w:pPr>
      <w:hyperlink r:id="rId15" w:history="1">
        <w:r w:rsidRPr="002B6183">
          <w:rPr>
            <w:rStyle w:val="Lienhypertexte"/>
            <w:rFonts w:asciiTheme="minorHAnsi" w:hAnsiTheme="minorHAnsi" w:cstheme="minorHAnsi"/>
            <w:bCs/>
            <w:sz w:val="22"/>
            <w:szCs w:val="22"/>
          </w:rPr>
          <w:t>Décret n° 2021-1910 du 30 décembre 2021</w:t>
        </w:r>
      </w:hyperlink>
      <w:bookmarkStart w:id="1" w:name="_GoBack"/>
      <w:bookmarkEnd w:id="1"/>
      <w:r w:rsidRPr="002B6183">
        <w:rPr>
          <w:rFonts w:asciiTheme="minorHAnsi" w:hAnsiTheme="minorHAnsi" w:cstheme="minorHAnsi"/>
          <w:bCs/>
          <w:color w:val="auto"/>
          <w:sz w:val="22"/>
          <w:szCs w:val="22"/>
        </w:rPr>
        <w:t xml:space="preserve"> portant actualisation et adaptation de dispositions du code de l'éducation relatives à l'outre-mer</w:t>
      </w:r>
    </w:p>
    <w:p w:rsidR="004F13E7" w:rsidRDefault="004F13E7" w:rsidP="004F13E7">
      <w:r>
        <w:t>Journal officiel du 31 décembre 2021</w:t>
      </w:r>
    </w:p>
    <w:p w:rsidR="004F13E7" w:rsidRDefault="004F13E7" w:rsidP="004F13E7">
      <w:pPr>
        <w:rPr>
          <w:rFonts w:cstheme="minorHAnsi"/>
          <w:color w:val="000000"/>
          <w:shd w:val="clear" w:color="auto" w:fill="FFFFFF"/>
        </w:rPr>
      </w:pPr>
      <w:r w:rsidRPr="004F13E7">
        <w:rPr>
          <w:rFonts w:cstheme="minorHAnsi"/>
          <w:color w:val="000000"/>
          <w:shd w:val="clear" w:color="auto" w:fill="FFFFFF"/>
        </w:rPr>
        <w:t>Ce décret étend et adapte les </w:t>
      </w:r>
      <w:hyperlink r:id="rId16" w:tooltip="Code de l" w:history="1">
        <w:r w:rsidRPr="004F13E7">
          <w:rPr>
            <w:rStyle w:val="Lienhypertexte"/>
            <w:rFonts w:cstheme="minorHAnsi"/>
            <w:color w:val="4A5E81"/>
            <w:shd w:val="clear" w:color="auto" w:fill="FFFFFF"/>
          </w:rPr>
          <w:t>dispositions réglementaires du code de l'éducation</w:t>
        </w:r>
      </w:hyperlink>
      <w:r w:rsidRPr="004F13E7">
        <w:rPr>
          <w:rFonts w:cstheme="minorHAnsi"/>
          <w:color w:val="000000"/>
          <w:shd w:val="clear" w:color="auto" w:fill="FFFFFF"/>
        </w:rPr>
        <w:t> applicables outre-mer dans le prolongement de l'</w:t>
      </w:r>
      <w:hyperlink r:id="rId17" w:tooltip="Ordonnance n°2021-552 du 5 mai 2021 (VD)" w:history="1">
        <w:r w:rsidRPr="004F13E7">
          <w:rPr>
            <w:rStyle w:val="Lienhypertexte"/>
            <w:rFonts w:cstheme="minorHAnsi"/>
            <w:color w:val="4A5E81"/>
            <w:shd w:val="clear" w:color="auto" w:fill="FFFFFF"/>
          </w:rPr>
          <w:t>ordonnance n° 2021-552 du 5 mai 2021</w:t>
        </w:r>
      </w:hyperlink>
      <w:r w:rsidRPr="004F13E7">
        <w:rPr>
          <w:rFonts w:cstheme="minorHAnsi"/>
          <w:color w:val="000000"/>
          <w:shd w:val="clear" w:color="auto" w:fill="FFFFFF"/>
        </w:rPr>
        <w:t>. Les titres du </w:t>
      </w:r>
      <w:hyperlink r:id="rId18" w:tooltip="Code de l" w:history="1">
        <w:r w:rsidRPr="004F13E7">
          <w:rPr>
            <w:rStyle w:val="Lienhypertexte"/>
            <w:rFonts w:cstheme="minorHAnsi"/>
            <w:color w:val="4A5E81"/>
            <w:shd w:val="clear" w:color="auto" w:fill="FFFFFF"/>
          </w:rPr>
          <w:t>code de l'éducation</w:t>
        </w:r>
      </w:hyperlink>
      <w:r w:rsidRPr="004F13E7">
        <w:rPr>
          <w:rFonts w:cstheme="minorHAnsi"/>
          <w:color w:val="000000"/>
          <w:shd w:val="clear" w:color="auto" w:fill="FFFFFF"/>
        </w:rPr>
        <w:t> consacrés à l'outre-mer reprennent en partie réglementaire le plan fixé par l'ordonnance. Le décret actualise par ailleurs certaines dispositions pour prendre en compte des évolutions législatives et réglementaires intervenues depuis la codification des </w:t>
      </w:r>
      <w:hyperlink r:id="rId19" w:tooltip="Code de l" w:history="1">
        <w:r w:rsidRPr="004F13E7">
          <w:rPr>
            <w:rStyle w:val="Lienhypertexte"/>
            <w:rFonts w:cstheme="minorHAnsi"/>
            <w:color w:val="4A5E81"/>
            <w:shd w:val="clear" w:color="auto" w:fill="FFFFFF"/>
          </w:rPr>
          <w:t>dispositions réglementaires du code de l'éducation</w:t>
        </w:r>
      </w:hyperlink>
      <w:r w:rsidRPr="004F13E7">
        <w:rPr>
          <w:rFonts w:cstheme="minorHAnsi"/>
          <w:color w:val="000000"/>
          <w:shd w:val="clear" w:color="auto" w:fill="FFFFFF"/>
        </w:rPr>
        <w:t>.</w:t>
      </w:r>
    </w:p>
    <w:p w:rsidR="005A5CD2" w:rsidRDefault="005A5CD2" w:rsidP="004F13E7">
      <w:pPr>
        <w:rPr>
          <w:rFonts w:cstheme="minorHAnsi"/>
          <w:color w:val="000000"/>
          <w:shd w:val="clear" w:color="auto" w:fill="FFFFFF"/>
        </w:rPr>
      </w:pPr>
    </w:p>
    <w:p w:rsidR="005A5CD2" w:rsidRPr="005A5CD2" w:rsidRDefault="005A5CD2" w:rsidP="004F13E7">
      <w:pPr>
        <w:rPr>
          <w:rFonts w:cstheme="minorHAnsi"/>
          <w:b/>
          <w:color w:val="000000"/>
          <w:shd w:val="clear" w:color="auto" w:fill="FFFFFF"/>
        </w:rPr>
      </w:pPr>
      <w:r w:rsidRPr="005A5CD2">
        <w:rPr>
          <w:rFonts w:cstheme="minorHAnsi"/>
          <w:b/>
          <w:color w:val="000000"/>
          <w:shd w:val="clear" w:color="auto" w:fill="FFFFFF"/>
        </w:rPr>
        <w:t>Enseignement supérieur</w:t>
      </w:r>
    </w:p>
    <w:p w:rsidR="005A5CD2" w:rsidRPr="005A5CD2" w:rsidRDefault="00914D18" w:rsidP="005A5CD2">
      <w:pPr>
        <w:pStyle w:val="NormalWeb"/>
        <w:rPr>
          <w:rFonts w:asciiTheme="minorHAnsi" w:hAnsiTheme="minorHAnsi" w:cstheme="minorHAnsi"/>
          <w:color w:val="000000"/>
          <w:sz w:val="22"/>
          <w:szCs w:val="22"/>
        </w:rPr>
      </w:pPr>
      <w:hyperlink r:id="rId20" w:history="1">
        <w:r w:rsidR="005A5CD2" w:rsidRPr="005A5CD2">
          <w:rPr>
            <w:rStyle w:val="Lienhypertexte"/>
            <w:rFonts w:asciiTheme="minorHAnsi" w:hAnsiTheme="minorHAnsi" w:cstheme="minorHAnsi"/>
            <w:sz w:val="22"/>
            <w:szCs w:val="22"/>
            <w:shd w:val="clear" w:color="auto" w:fill="FFFFFF"/>
          </w:rPr>
          <w:t>Arrêté du 21/12/2021</w:t>
        </w:r>
      </w:hyperlink>
      <w:r w:rsidR="005A5CD2" w:rsidRPr="005A5CD2">
        <w:rPr>
          <w:rFonts w:asciiTheme="minorHAnsi" w:hAnsiTheme="minorHAnsi" w:cstheme="minorHAnsi"/>
          <w:sz w:val="22"/>
          <w:szCs w:val="22"/>
          <w:shd w:val="clear" w:color="auto" w:fill="FFFFFF"/>
        </w:rPr>
        <w:t xml:space="preserve"> relatif au c</w:t>
      </w:r>
      <w:r w:rsidR="005A5CD2" w:rsidRPr="005A5CD2">
        <w:rPr>
          <w:rFonts w:asciiTheme="minorHAnsi" w:hAnsiTheme="minorHAnsi" w:cstheme="minorHAnsi"/>
          <w:bCs/>
          <w:sz w:val="22"/>
          <w:szCs w:val="22"/>
        </w:rPr>
        <w:t>adre national sur les attendus des formations conduisant à un diplôme national relevant du ministère chargé de l'enseignement supérieur : modification</w:t>
      </w:r>
      <w:r w:rsidR="005A5CD2">
        <w:rPr>
          <w:rFonts w:asciiTheme="minorHAnsi" w:hAnsiTheme="minorHAnsi" w:cstheme="minorHAnsi"/>
          <w:bCs/>
          <w:sz w:val="22"/>
          <w:szCs w:val="22"/>
        </w:rPr>
        <w:br/>
      </w:r>
      <w:r w:rsidR="005A5CD2">
        <w:rPr>
          <w:rFonts w:asciiTheme="minorHAnsi" w:hAnsiTheme="minorHAnsi" w:cstheme="minorHAnsi"/>
          <w:bCs/>
          <w:sz w:val="22"/>
          <w:szCs w:val="22"/>
        </w:rPr>
        <w:br/>
        <w:t>BOENJS n° 1, du 6 janvier 2022</w:t>
      </w:r>
      <w:r w:rsidR="005A5CD2">
        <w:rPr>
          <w:rFonts w:asciiTheme="minorHAnsi" w:hAnsiTheme="minorHAnsi" w:cstheme="minorHAnsi"/>
          <w:bCs/>
          <w:sz w:val="22"/>
          <w:szCs w:val="22"/>
        </w:rPr>
        <w:br/>
      </w:r>
      <w:r w:rsidR="005A5CD2" w:rsidRPr="005A5CD2">
        <w:rPr>
          <w:rFonts w:asciiTheme="minorHAnsi" w:hAnsiTheme="minorHAnsi" w:cstheme="minorHAnsi"/>
          <w:bCs/>
          <w:sz w:val="22"/>
          <w:szCs w:val="22"/>
        </w:rPr>
        <w:br/>
      </w:r>
      <w:r w:rsidR="005A5CD2" w:rsidRPr="005A5CD2">
        <w:rPr>
          <w:rFonts w:asciiTheme="minorHAnsi" w:hAnsiTheme="minorHAnsi" w:cstheme="minorHAnsi"/>
          <w:b/>
          <w:sz w:val="22"/>
          <w:szCs w:val="22"/>
        </w:rPr>
        <w:t>Article 1 -</w:t>
      </w:r>
      <w:r w:rsidR="005A5CD2" w:rsidRPr="005A5CD2">
        <w:rPr>
          <w:rFonts w:asciiTheme="minorHAnsi" w:hAnsiTheme="minorHAnsi" w:cstheme="minorHAnsi"/>
          <w:sz w:val="22"/>
          <w:szCs w:val="22"/>
        </w:rPr>
        <w:t> </w:t>
      </w:r>
      <w:r w:rsidR="005A5CD2" w:rsidRPr="005A5CD2">
        <w:rPr>
          <w:rFonts w:asciiTheme="minorHAnsi" w:hAnsiTheme="minorHAnsi" w:cstheme="minorHAnsi"/>
          <w:color w:val="000000"/>
          <w:sz w:val="22"/>
          <w:szCs w:val="22"/>
        </w:rPr>
        <w:t>L'annexe I de l'arrêté du 9 mars 2018 susvisé est remplacée par l'annexe I du présent arrêté.</w:t>
      </w:r>
    </w:p>
    <w:p w:rsidR="005A5CD2" w:rsidRPr="005A5CD2" w:rsidRDefault="005A5CD2" w:rsidP="005A5CD2">
      <w:pPr>
        <w:spacing w:after="100" w:afterAutospacing="1" w:line="240" w:lineRule="auto"/>
        <w:rPr>
          <w:rFonts w:eastAsia="Times New Roman" w:cstheme="minorHAnsi"/>
          <w:color w:val="000000"/>
          <w:lang w:eastAsia="fr-FR"/>
        </w:rPr>
      </w:pPr>
      <w:r w:rsidRPr="005A5CD2">
        <w:rPr>
          <w:rFonts w:eastAsia="Times New Roman" w:cstheme="minorHAnsi"/>
          <w:b/>
          <w:lang w:eastAsia="fr-FR"/>
        </w:rPr>
        <w:t>Article 2 -</w:t>
      </w:r>
      <w:r w:rsidRPr="005A5CD2">
        <w:rPr>
          <w:rFonts w:eastAsia="Times New Roman" w:cstheme="minorHAnsi"/>
          <w:lang w:eastAsia="fr-FR"/>
        </w:rPr>
        <w:t> </w:t>
      </w:r>
      <w:r w:rsidRPr="005A5CD2">
        <w:rPr>
          <w:rFonts w:eastAsia="Times New Roman" w:cstheme="minorHAnsi"/>
          <w:color w:val="000000"/>
          <w:lang w:eastAsia="fr-FR"/>
        </w:rPr>
        <w:t>L'annexe III du même arrêté est remplacée par l'annexe II du présent arrêté.</w:t>
      </w:r>
    </w:p>
    <w:p w:rsidR="005A5CD2" w:rsidRPr="005A5CD2" w:rsidRDefault="005A5CD2" w:rsidP="005A5CD2">
      <w:pPr>
        <w:spacing w:after="100" w:afterAutospacing="1" w:line="240" w:lineRule="auto"/>
        <w:rPr>
          <w:rFonts w:eastAsia="Times New Roman" w:cstheme="minorHAnsi"/>
          <w:color w:val="000000"/>
          <w:lang w:eastAsia="fr-FR"/>
        </w:rPr>
      </w:pPr>
      <w:r w:rsidRPr="005A5CD2">
        <w:rPr>
          <w:rFonts w:eastAsia="Times New Roman" w:cstheme="minorHAnsi"/>
          <w:b/>
          <w:lang w:eastAsia="fr-FR"/>
        </w:rPr>
        <w:t>Article 3 -</w:t>
      </w:r>
      <w:r w:rsidRPr="005A5CD2">
        <w:rPr>
          <w:rFonts w:eastAsia="Times New Roman" w:cstheme="minorHAnsi"/>
          <w:lang w:eastAsia="fr-FR"/>
        </w:rPr>
        <w:t> </w:t>
      </w:r>
      <w:r w:rsidRPr="005A5CD2">
        <w:rPr>
          <w:rFonts w:eastAsia="Times New Roman" w:cstheme="minorHAnsi"/>
          <w:color w:val="000000"/>
          <w:lang w:eastAsia="fr-FR"/>
        </w:rPr>
        <w:t>L'annexe VI du même arrêté est remplacée par l'annexe III du présent arrêté.</w:t>
      </w:r>
    </w:p>
    <w:p w:rsidR="005A5CD2" w:rsidRPr="005A5CD2" w:rsidRDefault="005A5CD2" w:rsidP="005A5CD2">
      <w:pPr>
        <w:pStyle w:val="Titre2"/>
        <w:spacing w:before="0" w:after="450"/>
        <w:rPr>
          <w:rFonts w:asciiTheme="minorHAnsi" w:hAnsiTheme="minorHAnsi" w:cstheme="minorHAnsi"/>
          <w:b/>
          <w:bCs/>
          <w:color w:val="000000"/>
          <w:sz w:val="22"/>
          <w:szCs w:val="22"/>
        </w:rPr>
      </w:pPr>
      <w:r w:rsidRPr="005A5CD2">
        <w:rPr>
          <w:rFonts w:asciiTheme="minorHAnsi" w:eastAsia="Times New Roman" w:hAnsiTheme="minorHAnsi" w:cstheme="minorHAnsi"/>
          <w:color w:val="000000"/>
          <w:sz w:val="22"/>
          <w:szCs w:val="22"/>
          <w:lang w:eastAsia="fr-FR"/>
        </w:rPr>
        <w:t> </w:t>
      </w:r>
      <w:r w:rsidRPr="005A5CD2">
        <w:rPr>
          <w:rFonts w:asciiTheme="minorHAnsi" w:hAnsiTheme="minorHAnsi" w:cstheme="minorHAnsi"/>
          <w:b/>
          <w:bCs/>
          <w:color w:val="000000"/>
          <w:sz w:val="22"/>
          <w:szCs w:val="22"/>
        </w:rPr>
        <w:t>Annexe 1</w:t>
      </w:r>
    </w:p>
    <w:p w:rsidR="005A5CD2" w:rsidRPr="005A5CD2" w:rsidRDefault="00914D18" w:rsidP="005A5CD2">
      <w:pPr>
        <w:pStyle w:val="Titre2"/>
        <w:spacing w:before="0" w:after="450"/>
        <w:rPr>
          <w:rFonts w:asciiTheme="minorHAnsi" w:hAnsiTheme="minorHAnsi" w:cstheme="minorHAnsi"/>
          <w:color w:val="000000"/>
          <w:sz w:val="22"/>
          <w:szCs w:val="22"/>
        </w:rPr>
      </w:pPr>
      <w:hyperlink r:id="rId21" w:tooltip="ensecsup559_annexe1 (PDF-237.07 Ko-Nouvelle fenêtre)" w:history="1">
        <w:r w:rsidR="005A5CD2" w:rsidRPr="005A5CD2">
          <w:rPr>
            <w:rStyle w:val="Lienhypertexte"/>
            <w:rFonts w:asciiTheme="minorHAnsi" w:hAnsiTheme="minorHAnsi" w:cstheme="minorHAnsi"/>
            <w:color w:val="000000"/>
            <w:sz w:val="22"/>
            <w:szCs w:val="22"/>
          </w:rPr>
          <w:t>Connaissances et compétences attendues pour la réussite dans les différentes spécialités des sections de techniciens supérieurs conduisant à un brevet de technicien supérieur</w:t>
        </w:r>
      </w:hyperlink>
      <w:r w:rsidR="005A5CD2" w:rsidRPr="005A5CD2">
        <w:rPr>
          <w:rFonts w:asciiTheme="minorHAnsi" w:hAnsiTheme="minorHAnsi" w:cstheme="minorHAnsi"/>
          <w:color w:val="000000"/>
          <w:sz w:val="22"/>
          <w:szCs w:val="22"/>
        </w:rPr>
        <w:t xml:space="preserve"> </w:t>
      </w:r>
    </w:p>
    <w:p w:rsidR="005A5CD2" w:rsidRPr="005A5CD2" w:rsidRDefault="005A5CD2" w:rsidP="005A5CD2">
      <w:pPr>
        <w:pStyle w:val="Titre2"/>
        <w:spacing w:before="450" w:after="450"/>
        <w:rPr>
          <w:rFonts w:asciiTheme="minorHAnsi" w:hAnsiTheme="minorHAnsi" w:cstheme="minorHAnsi"/>
          <w:color w:val="000000"/>
          <w:sz w:val="22"/>
          <w:szCs w:val="22"/>
        </w:rPr>
      </w:pPr>
      <w:r w:rsidRPr="005A5CD2">
        <w:rPr>
          <w:rFonts w:asciiTheme="minorHAnsi" w:hAnsiTheme="minorHAnsi" w:cstheme="minorHAnsi"/>
          <w:b/>
          <w:bCs/>
          <w:color w:val="000000"/>
          <w:sz w:val="22"/>
          <w:szCs w:val="22"/>
        </w:rPr>
        <w:t>Annexe 2</w:t>
      </w:r>
    </w:p>
    <w:p w:rsidR="005A5CD2" w:rsidRPr="005A5CD2" w:rsidRDefault="00914D18" w:rsidP="005A5CD2">
      <w:pPr>
        <w:rPr>
          <w:rFonts w:cstheme="minorHAnsi"/>
          <w:color w:val="000000"/>
        </w:rPr>
      </w:pPr>
      <w:hyperlink r:id="rId22" w:tooltip="ensecsup559_annexe2 (PDF-178.25 Ko-Nouvelle fenêtre)" w:history="1">
        <w:r w:rsidR="005A5CD2" w:rsidRPr="005A5CD2">
          <w:rPr>
            <w:rStyle w:val="Lienhypertexte"/>
            <w:rFonts w:cstheme="minorHAnsi"/>
            <w:color w:val="000000"/>
          </w:rPr>
          <w:t xml:space="preserve">Connaissances et compétences attendues pour la réussite dans les différentes formations conduisant au </w:t>
        </w:r>
        <w:proofErr w:type="spellStart"/>
        <w:r w:rsidR="005A5CD2" w:rsidRPr="005A5CD2">
          <w:rPr>
            <w:rStyle w:val="Lienhypertexte"/>
            <w:rFonts w:cstheme="minorHAnsi"/>
            <w:color w:val="000000"/>
          </w:rPr>
          <w:t>bachelor</w:t>
        </w:r>
        <w:proofErr w:type="spellEnd"/>
        <w:r w:rsidR="005A5CD2" w:rsidRPr="005A5CD2">
          <w:rPr>
            <w:rStyle w:val="Lienhypertexte"/>
            <w:rFonts w:cstheme="minorHAnsi"/>
            <w:color w:val="000000"/>
          </w:rPr>
          <w:t xml:space="preserve"> universitaire de technologie</w:t>
        </w:r>
      </w:hyperlink>
      <w:r w:rsidR="005A5CD2" w:rsidRPr="005A5CD2">
        <w:rPr>
          <w:rFonts w:cstheme="minorHAnsi"/>
          <w:color w:val="000000"/>
        </w:rPr>
        <w:t xml:space="preserve"> </w:t>
      </w:r>
    </w:p>
    <w:p w:rsidR="005A5CD2" w:rsidRPr="005A5CD2" w:rsidRDefault="005A5CD2" w:rsidP="005A5CD2">
      <w:pPr>
        <w:pStyle w:val="Titre2"/>
        <w:spacing w:before="450" w:after="450"/>
        <w:rPr>
          <w:rFonts w:asciiTheme="minorHAnsi" w:hAnsiTheme="minorHAnsi" w:cstheme="minorHAnsi"/>
          <w:color w:val="000000"/>
          <w:sz w:val="22"/>
          <w:szCs w:val="22"/>
        </w:rPr>
      </w:pPr>
      <w:r w:rsidRPr="005A5CD2">
        <w:rPr>
          <w:rFonts w:asciiTheme="minorHAnsi" w:hAnsiTheme="minorHAnsi" w:cstheme="minorHAnsi"/>
          <w:b/>
          <w:bCs/>
          <w:color w:val="000000"/>
          <w:sz w:val="22"/>
          <w:szCs w:val="22"/>
        </w:rPr>
        <w:t>Annexe 3</w:t>
      </w:r>
    </w:p>
    <w:p w:rsidR="005A5CD2" w:rsidRPr="005A5CD2" w:rsidRDefault="00914D18" w:rsidP="005A5CD2">
      <w:pPr>
        <w:rPr>
          <w:rFonts w:cstheme="minorHAnsi"/>
          <w:color w:val="000000"/>
        </w:rPr>
      </w:pPr>
      <w:hyperlink r:id="rId23" w:tgtFrame="_blank" w:tooltip="ensecsup559_annexe3 (PDF-430.41 Ko-Nouvelle fenêtre)" w:history="1">
        <w:r w:rsidR="005A5CD2" w:rsidRPr="005A5CD2">
          <w:rPr>
            <w:rStyle w:val="Lienhypertexte"/>
            <w:rFonts w:cstheme="minorHAnsi"/>
          </w:rPr>
          <w:t>Connaissances et compétences attendues pour la réussite dans les formations conduisant au diplôme national de licence ou au parcours de formation mentionné au 2° du I de l'article R. 631-1 du Code de l'éducation (parcours spécifique accès santé : PASS)</w:t>
        </w:r>
      </w:hyperlink>
    </w:p>
    <w:p w:rsidR="005A5CD2" w:rsidRPr="005A5CD2" w:rsidRDefault="005A5CD2" w:rsidP="005A5CD2">
      <w:pPr>
        <w:spacing w:line="240" w:lineRule="auto"/>
      </w:pPr>
    </w:p>
    <w:p w:rsidR="005A5CD2" w:rsidRPr="004F13E7" w:rsidRDefault="005A5CD2" w:rsidP="004F13E7">
      <w:pPr>
        <w:rPr>
          <w:rFonts w:cstheme="minorHAnsi"/>
        </w:rPr>
      </w:pPr>
    </w:p>
    <w:sectPr w:rsidR="005A5CD2" w:rsidRPr="004F13E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18" w:rsidRDefault="00914D18" w:rsidP="00943B28">
      <w:pPr>
        <w:spacing w:after="0" w:line="240" w:lineRule="auto"/>
      </w:pPr>
      <w:r>
        <w:separator/>
      </w:r>
    </w:p>
  </w:endnote>
  <w:endnote w:type="continuationSeparator" w:id="0">
    <w:p w:rsidR="00914D18" w:rsidRDefault="00914D1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B6183">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18" w:rsidRDefault="00914D18" w:rsidP="00943B28">
      <w:pPr>
        <w:spacing w:after="0" w:line="240" w:lineRule="auto"/>
      </w:pPr>
      <w:r>
        <w:separator/>
      </w:r>
    </w:p>
  </w:footnote>
  <w:footnote w:type="continuationSeparator" w:id="0">
    <w:p w:rsidR="00914D18" w:rsidRDefault="00914D1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5549"/>
    <w:rsid w:val="002658C3"/>
    <w:rsid w:val="00291C56"/>
    <w:rsid w:val="002A0328"/>
    <w:rsid w:val="002B240B"/>
    <w:rsid w:val="002B6183"/>
    <w:rsid w:val="002B729E"/>
    <w:rsid w:val="002B76EA"/>
    <w:rsid w:val="002E1BE8"/>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4E4229"/>
    <w:rsid w:val="004F13E7"/>
    <w:rsid w:val="0052310B"/>
    <w:rsid w:val="00546A8C"/>
    <w:rsid w:val="00571076"/>
    <w:rsid w:val="005A5CD2"/>
    <w:rsid w:val="005C2D73"/>
    <w:rsid w:val="005C4276"/>
    <w:rsid w:val="005F3C35"/>
    <w:rsid w:val="006032E0"/>
    <w:rsid w:val="00630368"/>
    <w:rsid w:val="00631D1F"/>
    <w:rsid w:val="006526D8"/>
    <w:rsid w:val="0065783B"/>
    <w:rsid w:val="006C6087"/>
    <w:rsid w:val="00701690"/>
    <w:rsid w:val="00714C03"/>
    <w:rsid w:val="0072136B"/>
    <w:rsid w:val="007827F8"/>
    <w:rsid w:val="007A1C07"/>
    <w:rsid w:val="007A52B2"/>
    <w:rsid w:val="007B15CB"/>
    <w:rsid w:val="007C0AF4"/>
    <w:rsid w:val="007E2E13"/>
    <w:rsid w:val="00800061"/>
    <w:rsid w:val="00852B36"/>
    <w:rsid w:val="00874F3E"/>
    <w:rsid w:val="00885A88"/>
    <w:rsid w:val="00890A43"/>
    <w:rsid w:val="00895031"/>
    <w:rsid w:val="008E640E"/>
    <w:rsid w:val="009023CD"/>
    <w:rsid w:val="00905E92"/>
    <w:rsid w:val="00905FF3"/>
    <w:rsid w:val="00914D18"/>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E03B9D"/>
    <w:rsid w:val="00E06030"/>
    <w:rsid w:val="00E15CAF"/>
    <w:rsid w:val="00E17983"/>
    <w:rsid w:val="00E2138E"/>
    <w:rsid w:val="00E75703"/>
    <w:rsid w:val="00EA0630"/>
    <w:rsid w:val="00EA214F"/>
    <w:rsid w:val="00EE475F"/>
    <w:rsid w:val="00EF08E3"/>
    <w:rsid w:val="00EF6DFB"/>
    <w:rsid w:val="00F10019"/>
    <w:rsid w:val="00F413E5"/>
    <w:rsid w:val="00F6302F"/>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780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character" w:customStyle="1" w:styleId="article">
    <w:name w:val="article"/>
    <w:basedOn w:val="Policepardfaut"/>
    <w:rsid w:val="005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37632215">
      <w:bodyDiv w:val="1"/>
      <w:marLeft w:val="0"/>
      <w:marRight w:val="0"/>
      <w:marTop w:val="0"/>
      <w:marBottom w:val="0"/>
      <w:divBdr>
        <w:top w:val="none" w:sz="0" w:space="0" w:color="auto"/>
        <w:left w:val="none" w:sz="0" w:space="0" w:color="auto"/>
        <w:bottom w:val="none" w:sz="0" w:space="0" w:color="auto"/>
        <w:right w:val="none" w:sz="0" w:space="0" w:color="auto"/>
      </w:divBdr>
      <w:divsChild>
        <w:div w:id="1991860988">
          <w:marLeft w:val="0"/>
          <w:marRight w:val="0"/>
          <w:marTop w:val="0"/>
          <w:marBottom w:val="0"/>
          <w:divBdr>
            <w:top w:val="none" w:sz="0" w:space="0" w:color="auto"/>
            <w:left w:val="none" w:sz="0" w:space="0" w:color="auto"/>
            <w:bottom w:val="none" w:sz="0" w:space="0" w:color="auto"/>
            <w:right w:val="none" w:sz="0" w:space="0" w:color="auto"/>
          </w:divBdr>
          <w:divsChild>
            <w:div w:id="1997761797">
              <w:marLeft w:val="0"/>
              <w:marRight w:val="0"/>
              <w:marTop w:val="1538"/>
              <w:marBottom w:val="100"/>
              <w:divBdr>
                <w:top w:val="none" w:sz="0" w:space="0" w:color="auto"/>
                <w:left w:val="none" w:sz="0" w:space="0" w:color="auto"/>
                <w:bottom w:val="none" w:sz="0" w:space="0" w:color="auto"/>
                <w:right w:val="none" w:sz="0" w:space="0" w:color="auto"/>
              </w:divBdr>
              <w:divsChild>
                <w:div w:id="1020396821">
                  <w:marLeft w:val="0"/>
                  <w:marRight w:val="0"/>
                  <w:marTop w:val="0"/>
                  <w:marBottom w:val="0"/>
                  <w:divBdr>
                    <w:top w:val="none" w:sz="0" w:space="0" w:color="auto"/>
                    <w:left w:val="none" w:sz="0" w:space="0" w:color="auto"/>
                    <w:bottom w:val="none" w:sz="0" w:space="0" w:color="auto"/>
                    <w:right w:val="none" w:sz="0" w:space="0" w:color="auto"/>
                  </w:divBdr>
                  <w:divsChild>
                    <w:div w:id="88937852">
                      <w:marLeft w:val="0"/>
                      <w:marRight w:val="0"/>
                      <w:marTop w:val="0"/>
                      <w:marBottom w:val="0"/>
                      <w:divBdr>
                        <w:top w:val="none" w:sz="0" w:space="0" w:color="auto"/>
                        <w:left w:val="none" w:sz="0" w:space="0" w:color="auto"/>
                        <w:bottom w:val="none" w:sz="0" w:space="0" w:color="auto"/>
                        <w:right w:val="none" w:sz="0" w:space="0" w:color="auto"/>
                      </w:divBdr>
                      <w:divsChild>
                        <w:div w:id="1412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3038">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77260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63931010">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CodeArticle.do?cidTexte=LEGITEXT000006071335&amp;idArticle=LEGIARTI000006556000&amp;dateTexte=&amp;categorieLien=cid" TargetMode="External"/><Relationship Id="rId18" Type="http://schemas.openxmlformats.org/officeDocument/2006/relationships/hyperlink" Target="https://www.legifrance.gouv.fr/affichCode.do?cidTexte=LEGITEXT000006071191&amp;dateTexte=29990101&amp;categorieLien=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che.media.education.gouv.fr/file/1/77/3/ensecsup559_annexe1_1423773.pdf"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06071191&amp;idArticle=LEGIARTI000042212027&amp;dateTexte=&amp;categorieLien=cid" TargetMode="External"/><Relationship Id="rId17" Type="http://schemas.openxmlformats.org/officeDocument/2006/relationships/hyperlink" Target="https://www.legifrance.gouv.fr/affichTexte.do?cidTexte=JORFTEXT000043477594&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cidTexte=LEGITEXT000006071191&amp;idSectionTA=LEGISCTA000006095806&amp;dateTexte=29990101&amp;categorieLien=cid" TargetMode="External"/><Relationship Id="rId20" Type="http://schemas.openxmlformats.org/officeDocument/2006/relationships/hyperlink" Target="https://www.education.gouv.fr/bo/22/Hebdo1/ESRS2133559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463889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loda/id/JORFTEXT000044740106?origin=list&amp;etatTexte=ABROGE_DIFF&amp;etatTexte=VIGUEUR" TargetMode="External"/><Relationship Id="rId23" Type="http://schemas.openxmlformats.org/officeDocument/2006/relationships/hyperlink" Target="https://cache.media.education.gouv.fr/file/1/77/7/ensecsup559_annexe3_1423777.pdf" TargetMode="External"/><Relationship Id="rId10" Type="http://schemas.openxmlformats.org/officeDocument/2006/relationships/hyperlink" Target="https://www.legifrance.gouv.fr/jorf/id/JORFTEXT000044638867" TargetMode="External"/><Relationship Id="rId19" Type="http://schemas.openxmlformats.org/officeDocument/2006/relationships/hyperlink" Target="https://www.legifrance.gouv.fr/affichCode.do?cidTexte=LEGITEXT000006071191&amp;idSectionTA=LEGISCTA000006095806&amp;dateTexte=29990101&amp;categorieLien=cid"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CodeArticle.do?cidTexte=LEGITEXT000006071307&amp;idArticle=LEGIARTI000006540288&amp;dateTexte=&amp;categorieLien=cid" TargetMode="External"/><Relationship Id="rId22" Type="http://schemas.openxmlformats.org/officeDocument/2006/relationships/hyperlink" Target="https://cache.media.education.gouv.fr/file/1/77/5/ensecsup559_annexe2_142377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EC28-9977-4F4C-98FE-2B6B4108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79</cp:revision>
  <dcterms:created xsi:type="dcterms:W3CDTF">2021-03-23T13:03:00Z</dcterms:created>
  <dcterms:modified xsi:type="dcterms:W3CDTF">2022-01-12T12:24:00Z</dcterms:modified>
</cp:coreProperties>
</file>