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12467475"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0C014A">
        <w:rPr>
          <w:b/>
        </w:rPr>
        <w:t>3</w:t>
      </w:r>
      <w:r w:rsidR="00D42A0F">
        <w:rPr>
          <w:b/>
        </w:rPr>
        <w:t xml:space="preserve"> du </w:t>
      </w:r>
      <w:r w:rsidR="000C014A">
        <w:rPr>
          <w:b/>
        </w:rPr>
        <w:t>4 mai</w:t>
      </w:r>
      <w:r w:rsidR="00D42A0F">
        <w:rPr>
          <w:b/>
        </w:rPr>
        <w:t xml:space="preserve"> </w:t>
      </w:r>
      <w:r w:rsidR="0072136B">
        <w:rPr>
          <w:b/>
        </w:rPr>
        <w:t>202</w:t>
      </w:r>
      <w:r w:rsidR="004F13E7">
        <w:rPr>
          <w:b/>
        </w:rPr>
        <w:t>2</w:t>
      </w:r>
    </w:p>
    <w:p w:rsidR="008C4AF8" w:rsidRDefault="00252ACD" w:rsidP="00252ACD">
      <w:pPr>
        <w:pStyle w:val="NormalWeb"/>
        <w:jc w:val="center"/>
        <w:rPr>
          <w:rFonts w:asciiTheme="minorHAnsi" w:hAnsiTheme="minorHAnsi" w:cstheme="minorHAnsi"/>
          <w:b/>
          <w:bCs/>
          <w:sz w:val="22"/>
          <w:szCs w:val="22"/>
        </w:rPr>
      </w:pPr>
      <w:r w:rsidRPr="00252ACD">
        <w:rPr>
          <w:rFonts w:asciiTheme="minorHAnsi" w:hAnsiTheme="minorHAnsi" w:cstheme="minorHAnsi"/>
          <w:b/>
          <w:bCs/>
          <w:sz w:val="22"/>
          <w:szCs w:val="22"/>
        </w:rPr>
        <w:t>Emploi : apprentissage et contrat d'engagement pour les jeunes en rupture : 1 décret, 1 arrêté et 1 circulaire</w:t>
      </w:r>
    </w:p>
    <w:p w:rsidR="00252ACD" w:rsidRDefault="00252ACD" w:rsidP="00252ACD">
      <w:pPr>
        <w:pStyle w:val="NormalWeb"/>
        <w:jc w:val="center"/>
        <w:rPr>
          <w:rFonts w:asciiTheme="minorHAnsi" w:hAnsiTheme="minorHAnsi" w:cstheme="minorHAnsi"/>
          <w:b/>
          <w:bCs/>
          <w:sz w:val="22"/>
          <w:szCs w:val="22"/>
        </w:rPr>
      </w:pPr>
    </w:p>
    <w:p w:rsidR="008C4AF8" w:rsidRDefault="00BC4803" w:rsidP="008C4AF8">
      <w:pPr>
        <w:pStyle w:val="Titre1"/>
        <w:shd w:val="clear" w:color="auto" w:fill="FFFFFF"/>
        <w:spacing w:before="0" w:after="75"/>
        <w:rPr>
          <w:rFonts w:asciiTheme="minorHAnsi" w:hAnsiTheme="minorHAnsi" w:cstheme="minorHAnsi"/>
          <w:bCs/>
          <w:color w:val="auto"/>
          <w:sz w:val="22"/>
          <w:szCs w:val="22"/>
        </w:rPr>
      </w:pPr>
      <w:hyperlink r:id="rId10" w:history="1">
        <w:r w:rsidR="008C4AF8" w:rsidRPr="008C4AF8">
          <w:rPr>
            <w:rStyle w:val="Lienhypertexte"/>
            <w:rFonts w:asciiTheme="minorHAnsi" w:hAnsiTheme="minorHAnsi" w:cstheme="minorHAnsi"/>
            <w:bCs/>
            <w:sz w:val="22"/>
            <w:szCs w:val="22"/>
          </w:rPr>
          <w:t>Décret n° 2022-652 du 25 avril 2022</w:t>
        </w:r>
      </w:hyperlink>
      <w:r w:rsidR="008C4AF8" w:rsidRPr="008C4AF8">
        <w:rPr>
          <w:rFonts w:asciiTheme="minorHAnsi" w:hAnsiTheme="minorHAnsi" w:cstheme="minorHAnsi"/>
          <w:bCs/>
          <w:color w:val="auto"/>
          <w:sz w:val="22"/>
          <w:szCs w:val="22"/>
        </w:rPr>
        <w:t xml:space="preserve"> relatif au financement par le fonds de solidarité vieillesse des trimestres complémentaires accordés au titre de l'apprentissage</w:t>
      </w:r>
    </w:p>
    <w:p w:rsidR="008C4AF8" w:rsidRPr="008C4AF8" w:rsidRDefault="008C4AF8" w:rsidP="008C4AF8">
      <w:r>
        <w:t>Journal officiel du 26 avril 2022</w:t>
      </w:r>
    </w:p>
    <w:p w:rsidR="008C4AF8" w:rsidRDefault="008C4AF8" w:rsidP="008C4AF8">
      <w:pPr>
        <w:pStyle w:val="NormalWeb"/>
        <w:jc w:val="both"/>
        <w:rPr>
          <w:rFonts w:asciiTheme="minorHAnsi" w:hAnsiTheme="minorHAnsi" w:cstheme="minorHAnsi"/>
          <w:color w:val="000000"/>
          <w:sz w:val="22"/>
          <w:szCs w:val="22"/>
          <w:shd w:val="clear" w:color="auto" w:fill="FFFFFF"/>
        </w:rPr>
      </w:pPr>
      <w:r w:rsidRPr="008C4AF8">
        <w:rPr>
          <w:rFonts w:asciiTheme="minorHAnsi" w:hAnsiTheme="minorHAnsi" w:cstheme="minorHAnsi"/>
          <w:color w:val="000000"/>
          <w:sz w:val="22"/>
          <w:szCs w:val="22"/>
          <w:shd w:val="clear" w:color="auto" w:fill="FFFFFF"/>
        </w:rPr>
        <w:t>Ce décret modifie les modalités selon lesquelles le fonds de solidarité vieillesse prend en charge la validation de trimestres complémentaires au titre de l'apprentissage en faveur des apprentis qui ne valident pas, faute de cotisations suffisantes, un nombre de trimestres correspondant à la durée de la période d'apprentissage.</w:t>
      </w:r>
    </w:p>
    <w:p w:rsidR="008C4AF8" w:rsidRDefault="008C4AF8" w:rsidP="008C4AF8">
      <w:pPr>
        <w:pStyle w:val="NormalWeb"/>
        <w:jc w:val="both"/>
        <w:rPr>
          <w:rFonts w:asciiTheme="minorHAnsi" w:hAnsiTheme="minorHAnsi" w:cstheme="minorHAnsi"/>
          <w:color w:val="000000"/>
          <w:sz w:val="22"/>
          <w:szCs w:val="22"/>
          <w:shd w:val="clear" w:color="auto" w:fill="FFFFFF"/>
        </w:rPr>
      </w:pPr>
    </w:p>
    <w:p w:rsidR="008C4AF8" w:rsidRDefault="00BC4803" w:rsidP="008C4AF8">
      <w:pPr>
        <w:pStyle w:val="Titre1"/>
        <w:shd w:val="clear" w:color="auto" w:fill="FFFFFF"/>
        <w:spacing w:before="0" w:line="240" w:lineRule="auto"/>
        <w:rPr>
          <w:rFonts w:asciiTheme="minorHAnsi" w:hAnsiTheme="minorHAnsi" w:cstheme="minorHAnsi"/>
          <w:bCs/>
          <w:color w:val="auto"/>
          <w:sz w:val="22"/>
          <w:szCs w:val="22"/>
        </w:rPr>
      </w:pPr>
      <w:hyperlink r:id="rId11" w:history="1">
        <w:r w:rsidR="008C4AF8" w:rsidRPr="008C4AF8">
          <w:rPr>
            <w:rStyle w:val="Lienhypertexte"/>
            <w:rFonts w:asciiTheme="minorHAnsi" w:hAnsiTheme="minorHAnsi" w:cstheme="minorHAnsi"/>
            <w:bCs/>
            <w:sz w:val="22"/>
            <w:szCs w:val="22"/>
          </w:rPr>
          <w:t>Arrêté du 25 avril 2022</w:t>
        </w:r>
      </w:hyperlink>
      <w:r w:rsidR="008C4AF8" w:rsidRPr="008C4AF8">
        <w:rPr>
          <w:rFonts w:asciiTheme="minorHAnsi" w:hAnsiTheme="minorHAnsi" w:cstheme="minorHAnsi"/>
          <w:bCs/>
          <w:color w:val="auto"/>
          <w:sz w:val="22"/>
          <w:szCs w:val="22"/>
        </w:rPr>
        <w:t xml:space="preserve"> relatif au financement par le fonds de solidarité vieillesse des trimestres complémentaires accordés au titre de l'apprentissage</w:t>
      </w:r>
    </w:p>
    <w:p w:rsidR="008C4AF8" w:rsidRDefault="008C4AF8" w:rsidP="008C4AF8">
      <w:pPr>
        <w:pStyle w:val="Titre1"/>
        <w:shd w:val="clear" w:color="auto" w:fill="FFFFFF"/>
        <w:spacing w:before="0" w:line="240" w:lineRule="auto"/>
        <w:rPr>
          <w:rFonts w:asciiTheme="minorHAnsi" w:hAnsiTheme="minorHAnsi" w:cstheme="minorHAnsi"/>
          <w:bCs/>
          <w:color w:val="auto"/>
          <w:sz w:val="22"/>
          <w:szCs w:val="22"/>
        </w:rPr>
      </w:pPr>
      <w:r>
        <w:rPr>
          <w:rFonts w:asciiTheme="minorHAnsi" w:hAnsiTheme="minorHAnsi" w:cstheme="minorHAnsi"/>
          <w:bCs/>
          <w:color w:val="auto"/>
          <w:sz w:val="22"/>
          <w:szCs w:val="22"/>
        </w:rPr>
        <w:br/>
        <w:t>Journal officiel du 26 avril 2022</w:t>
      </w:r>
    </w:p>
    <w:p w:rsidR="008C4AF8" w:rsidRPr="008C4AF8" w:rsidRDefault="008C4AF8" w:rsidP="008C4AF8">
      <w:pPr>
        <w:jc w:val="both"/>
        <w:rPr>
          <w:rFonts w:cstheme="minorHAnsi"/>
        </w:rPr>
      </w:pPr>
      <w:r>
        <w:br/>
      </w:r>
      <w:r w:rsidRPr="008C4AF8">
        <w:rPr>
          <w:rFonts w:cstheme="minorHAnsi"/>
          <w:color w:val="000000"/>
          <w:shd w:val="clear" w:color="auto" w:fill="FFFFFF"/>
        </w:rPr>
        <w:t>La fraction mentionnée à l'</w:t>
      </w:r>
      <w:hyperlink r:id="rId12" w:tooltip="Code de la sécurité sociale. - art. D373-4 (V)" w:history="1">
        <w:r w:rsidRPr="008C4AF8">
          <w:rPr>
            <w:rStyle w:val="Lienhypertexte"/>
            <w:rFonts w:cstheme="minorHAnsi"/>
            <w:color w:val="2E3B50"/>
            <w:shd w:val="clear" w:color="auto" w:fill="FFFFFF"/>
          </w:rPr>
          <w:t>article D. 373-4 du code de la sécurité sociale</w:t>
        </w:r>
      </w:hyperlink>
      <w:r w:rsidRPr="008C4AF8">
        <w:rPr>
          <w:rFonts w:cstheme="minorHAnsi"/>
          <w:color w:val="000000"/>
          <w:shd w:val="clear" w:color="auto" w:fill="FFFFFF"/>
        </w:rPr>
        <w:t> est fixée à 35 % au titre des périodes d'apprentissage courant à compter du 1er janvier 2022</w:t>
      </w:r>
      <w:r>
        <w:rPr>
          <w:rFonts w:cstheme="minorHAnsi"/>
          <w:color w:val="000000"/>
          <w:shd w:val="clear" w:color="auto" w:fill="FFFFFF"/>
        </w:rPr>
        <w:t>.</w:t>
      </w:r>
    </w:p>
    <w:p w:rsidR="008C4AF8" w:rsidRPr="00252ACD" w:rsidRDefault="008C4AF8" w:rsidP="008C4AF8">
      <w:pPr>
        <w:rPr>
          <w:rFonts w:cstheme="minorHAnsi"/>
        </w:rPr>
      </w:pPr>
    </w:p>
    <w:p w:rsidR="00252ACD" w:rsidRDefault="00252ACD" w:rsidP="00252ACD">
      <w:pPr>
        <w:pStyle w:val="Titre1"/>
        <w:spacing w:before="0" w:after="120"/>
        <w:rPr>
          <w:rFonts w:asciiTheme="minorHAnsi" w:hAnsiTheme="minorHAnsi" w:cstheme="minorHAnsi"/>
          <w:bCs/>
          <w:color w:val="auto"/>
          <w:sz w:val="22"/>
          <w:szCs w:val="22"/>
        </w:rPr>
      </w:pPr>
      <w:hyperlink r:id="rId13" w:history="1">
        <w:r w:rsidRPr="00252ACD">
          <w:rPr>
            <w:rStyle w:val="Lienhypertexte"/>
            <w:rFonts w:asciiTheme="minorHAnsi" w:hAnsiTheme="minorHAnsi" w:cstheme="minorHAnsi"/>
            <w:bCs/>
            <w:sz w:val="22"/>
            <w:szCs w:val="22"/>
          </w:rPr>
          <w:t>Circulaire interministérielle n° DGEFP/MAJE/DIPLP/DIHAL/2022/117 du 22 avril 2022</w:t>
        </w:r>
      </w:hyperlink>
      <w:r w:rsidRPr="00252ACD">
        <w:rPr>
          <w:rFonts w:asciiTheme="minorHAnsi" w:hAnsiTheme="minorHAnsi" w:cstheme="minorHAnsi"/>
          <w:bCs/>
          <w:color w:val="auto"/>
          <w:sz w:val="22"/>
          <w:szCs w:val="22"/>
        </w:rPr>
        <w:t xml:space="preserve"> relative à la mise en </w:t>
      </w:r>
      <w:r w:rsidRPr="00252ACD">
        <w:rPr>
          <w:rFonts w:asciiTheme="minorHAnsi" w:hAnsiTheme="minorHAnsi" w:cstheme="minorHAnsi"/>
          <w:bCs/>
          <w:color w:val="auto"/>
          <w:sz w:val="22"/>
          <w:szCs w:val="22"/>
        </w:rPr>
        <w:t>œuvre</w:t>
      </w:r>
      <w:r w:rsidRPr="00252ACD">
        <w:rPr>
          <w:rFonts w:asciiTheme="minorHAnsi" w:hAnsiTheme="minorHAnsi" w:cstheme="minorHAnsi"/>
          <w:bCs/>
          <w:color w:val="auto"/>
          <w:sz w:val="22"/>
          <w:szCs w:val="22"/>
        </w:rPr>
        <w:t xml:space="preserve"> du contrat d’engagement pour les jeunes en rupture</w:t>
      </w:r>
    </w:p>
    <w:p w:rsidR="00252ACD" w:rsidRDefault="00252ACD" w:rsidP="00252ACD">
      <w:r>
        <w:t>Circulaire Légifrance, mise en ligne le 22 avril 2022</w:t>
      </w:r>
    </w:p>
    <w:p w:rsidR="00252ACD" w:rsidRPr="00252ACD" w:rsidRDefault="00252ACD" w:rsidP="00252ACD">
      <w:pPr>
        <w:rPr>
          <w:rFonts w:cstheme="minorHAnsi"/>
        </w:rPr>
      </w:pPr>
      <w:r w:rsidRPr="00252ACD">
        <w:rPr>
          <w:rFonts w:cstheme="minorHAnsi"/>
          <w:color w:val="000000"/>
          <w:shd w:val="clear" w:color="auto" w:fill="FFFFFF"/>
        </w:rPr>
        <w:t xml:space="preserve">La présente instruction a pour objet de définir les modalités de mise en </w:t>
      </w:r>
      <w:r w:rsidRPr="00252ACD">
        <w:rPr>
          <w:rFonts w:cstheme="minorHAnsi"/>
          <w:color w:val="000000"/>
          <w:shd w:val="clear" w:color="auto" w:fill="FFFFFF"/>
        </w:rPr>
        <w:t>œuvre</w:t>
      </w:r>
      <w:r w:rsidRPr="00252ACD">
        <w:rPr>
          <w:rFonts w:cstheme="minorHAnsi"/>
          <w:color w:val="000000"/>
          <w:shd w:val="clear" w:color="auto" w:fill="FFFFFF"/>
        </w:rPr>
        <w:t xml:space="preserve"> du volet jeunes en rupture du contrat d’engagement jeune, et plus particulièrement dans le cadre d’appels à projets régionaux déployés sur l’ensemble du territoire</w:t>
      </w:r>
      <w:r w:rsidRPr="00252ACD">
        <w:rPr>
          <w:rFonts w:cstheme="minorHAnsi"/>
          <w:color w:val="000000"/>
          <w:shd w:val="clear" w:color="auto" w:fill="FFFFFF"/>
        </w:rPr>
        <w:t>.</w:t>
      </w:r>
      <w:bookmarkStart w:id="1" w:name="_GoBack"/>
      <w:bookmarkEnd w:id="1"/>
    </w:p>
    <w:p w:rsidR="008C4AF8" w:rsidRPr="008C4AF8" w:rsidRDefault="008C4AF8" w:rsidP="008C4AF8"/>
    <w:p w:rsidR="008C4AF8" w:rsidRPr="008C4AF8" w:rsidRDefault="008C4AF8" w:rsidP="008C4AF8">
      <w:pPr>
        <w:pStyle w:val="NormalWeb"/>
        <w:jc w:val="both"/>
        <w:rPr>
          <w:rFonts w:asciiTheme="minorHAnsi" w:hAnsiTheme="minorHAnsi" w:cstheme="minorHAnsi"/>
          <w:b/>
          <w:bCs/>
          <w:sz w:val="22"/>
          <w:szCs w:val="22"/>
        </w:rPr>
      </w:pPr>
    </w:p>
    <w:sectPr w:rsidR="008C4AF8" w:rsidRPr="008C4A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03" w:rsidRDefault="00BC4803" w:rsidP="00943B28">
      <w:pPr>
        <w:spacing w:after="0" w:line="240" w:lineRule="auto"/>
      </w:pPr>
      <w:r>
        <w:separator/>
      </w:r>
    </w:p>
  </w:endnote>
  <w:endnote w:type="continuationSeparator" w:id="0">
    <w:p w:rsidR="00BC4803" w:rsidRDefault="00BC480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52ACD">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03" w:rsidRDefault="00BC4803" w:rsidP="00943B28">
      <w:pPr>
        <w:spacing w:after="0" w:line="240" w:lineRule="auto"/>
      </w:pPr>
      <w:r>
        <w:separator/>
      </w:r>
    </w:p>
  </w:footnote>
  <w:footnote w:type="continuationSeparator" w:id="0">
    <w:p w:rsidR="00BC4803" w:rsidRDefault="00BC480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C376C"/>
    <w:multiLevelType w:val="multilevel"/>
    <w:tmpl w:val="D71E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0"/>
  </w:num>
  <w:num w:numId="5">
    <w:abstractNumId w:val="0"/>
  </w:num>
  <w:num w:numId="6">
    <w:abstractNumId w:val="8"/>
  </w:num>
  <w:num w:numId="7">
    <w:abstractNumId w:val="4"/>
  </w:num>
  <w:num w:numId="8">
    <w:abstractNumId w:val="11"/>
  </w:num>
  <w:num w:numId="9">
    <w:abstractNumId w:val="14"/>
  </w:num>
  <w:num w:numId="10">
    <w:abstractNumId w:val="13"/>
  </w:num>
  <w:num w:numId="11">
    <w:abstractNumId w:val="5"/>
  </w:num>
  <w:num w:numId="12">
    <w:abstractNumId w:val="7"/>
  </w:num>
  <w:num w:numId="13">
    <w:abstractNumId w:val="6"/>
  </w:num>
  <w:num w:numId="14">
    <w:abstractNumId w:val="9"/>
  </w:num>
  <w:num w:numId="15">
    <w:abstractNumId w:val="3"/>
  </w:num>
  <w:num w:numId="16">
    <w:abstractNumId w:val="12"/>
  </w:num>
  <w:num w:numId="17">
    <w:abstractNumId w:val="16"/>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014A"/>
    <w:rsid w:val="000C4C9E"/>
    <w:rsid w:val="000D111E"/>
    <w:rsid w:val="000E4A2F"/>
    <w:rsid w:val="001170D3"/>
    <w:rsid w:val="00140FBE"/>
    <w:rsid w:val="001450BC"/>
    <w:rsid w:val="00152876"/>
    <w:rsid w:val="00176BC1"/>
    <w:rsid w:val="001B56A7"/>
    <w:rsid w:val="001F2016"/>
    <w:rsid w:val="002046A4"/>
    <w:rsid w:val="00216DBB"/>
    <w:rsid w:val="00220F47"/>
    <w:rsid w:val="00225549"/>
    <w:rsid w:val="002369DF"/>
    <w:rsid w:val="00252ACD"/>
    <w:rsid w:val="002658C3"/>
    <w:rsid w:val="00281228"/>
    <w:rsid w:val="00291C56"/>
    <w:rsid w:val="00297406"/>
    <w:rsid w:val="002A0328"/>
    <w:rsid w:val="002B240B"/>
    <w:rsid w:val="002B5A9E"/>
    <w:rsid w:val="002B729E"/>
    <w:rsid w:val="002B76EA"/>
    <w:rsid w:val="002C0398"/>
    <w:rsid w:val="002E1BE8"/>
    <w:rsid w:val="003050F2"/>
    <w:rsid w:val="00311061"/>
    <w:rsid w:val="003122A0"/>
    <w:rsid w:val="00316F2A"/>
    <w:rsid w:val="00322180"/>
    <w:rsid w:val="00326987"/>
    <w:rsid w:val="003371A7"/>
    <w:rsid w:val="00350E31"/>
    <w:rsid w:val="003546B6"/>
    <w:rsid w:val="00373AF6"/>
    <w:rsid w:val="00376092"/>
    <w:rsid w:val="003805B2"/>
    <w:rsid w:val="00381724"/>
    <w:rsid w:val="00386267"/>
    <w:rsid w:val="00391D5E"/>
    <w:rsid w:val="003C12BD"/>
    <w:rsid w:val="003D2209"/>
    <w:rsid w:val="00426574"/>
    <w:rsid w:val="004440D3"/>
    <w:rsid w:val="00445921"/>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C1B48"/>
    <w:rsid w:val="005C2D73"/>
    <w:rsid w:val="005C4276"/>
    <w:rsid w:val="005F3C35"/>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4C03"/>
    <w:rsid w:val="0072136B"/>
    <w:rsid w:val="0072717D"/>
    <w:rsid w:val="00741511"/>
    <w:rsid w:val="007752EB"/>
    <w:rsid w:val="007827F8"/>
    <w:rsid w:val="007A1C07"/>
    <w:rsid w:val="007A52B2"/>
    <w:rsid w:val="007B15CB"/>
    <w:rsid w:val="007C0AF4"/>
    <w:rsid w:val="007C1433"/>
    <w:rsid w:val="007E2E13"/>
    <w:rsid w:val="00800061"/>
    <w:rsid w:val="00851382"/>
    <w:rsid w:val="00852B36"/>
    <w:rsid w:val="00874F3E"/>
    <w:rsid w:val="00885A88"/>
    <w:rsid w:val="00890A43"/>
    <w:rsid w:val="00895031"/>
    <w:rsid w:val="008C4AF8"/>
    <w:rsid w:val="008C4E3B"/>
    <w:rsid w:val="008D3C1E"/>
    <w:rsid w:val="008E640E"/>
    <w:rsid w:val="00901B92"/>
    <w:rsid w:val="009023CD"/>
    <w:rsid w:val="00904553"/>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3ABC"/>
    <w:rsid w:val="00A64284"/>
    <w:rsid w:val="00A91312"/>
    <w:rsid w:val="00AA4849"/>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C0CAD"/>
    <w:rsid w:val="00BC4803"/>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E1488"/>
    <w:rsid w:val="00EE475F"/>
    <w:rsid w:val="00EF08E3"/>
    <w:rsid w:val="00EF6DFB"/>
    <w:rsid w:val="00F10019"/>
    <w:rsid w:val="00F12F6D"/>
    <w:rsid w:val="00F15410"/>
    <w:rsid w:val="00F35C24"/>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5EBD"/>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04662640">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23932738">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9678368">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053336">
      <w:bodyDiv w:val="1"/>
      <w:marLeft w:val="0"/>
      <w:marRight w:val="0"/>
      <w:marTop w:val="0"/>
      <w:marBottom w:val="0"/>
      <w:divBdr>
        <w:top w:val="none" w:sz="0" w:space="0" w:color="auto"/>
        <w:left w:val="none" w:sz="0" w:space="0" w:color="auto"/>
        <w:bottom w:val="none" w:sz="0" w:space="0" w:color="auto"/>
        <w:right w:val="none" w:sz="0" w:space="0" w:color="auto"/>
      </w:divBdr>
      <w:divsChild>
        <w:div w:id="1059746170">
          <w:marLeft w:val="0"/>
          <w:marRight w:val="0"/>
          <w:marTop w:val="0"/>
          <w:marBottom w:val="345"/>
          <w:divBdr>
            <w:top w:val="none" w:sz="0" w:space="0" w:color="auto"/>
            <w:left w:val="none" w:sz="0" w:space="0" w:color="auto"/>
            <w:bottom w:val="none" w:sz="0" w:space="0" w:color="auto"/>
            <w:right w:val="none" w:sz="0" w:space="0" w:color="auto"/>
          </w:divBdr>
        </w:div>
      </w:divsChild>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2868289">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3634">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316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4908773">
      <w:bodyDiv w:val="1"/>
      <w:marLeft w:val="0"/>
      <w:marRight w:val="0"/>
      <w:marTop w:val="0"/>
      <w:marBottom w:val="0"/>
      <w:divBdr>
        <w:top w:val="none" w:sz="0" w:space="0" w:color="auto"/>
        <w:left w:val="none" w:sz="0" w:space="0" w:color="auto"/>
        <w:bottom w:val="none" w:sz="0" w:space="0" w:color="auto"/>
        <w:right w:val="none" w:sz="0" w:space="0" w:color="auto"/>
      </w:divBdr>
      <w:divsChild>
        <w:div w:id="1189874359">
          <w:marLeft w:val="0"/>
          <w:marRight w:val="0"/>
          <w:marTop w:val="0"/>
          <w:marBottom w:val="0"/>
          <w:divBdr>
            <w:top w:val="single" w:sz="6" w:space="11" w:color="DBDBDB"/>
            <w:left w:val="none" w:sz="0" w:space="0" w:color="auto"/>
            <w:bottom w:val="none" w:sz="0" w:space="0" w:color="auto"/>
            <w:right w:val="none" w:sz="0" w:space="0" w:color="auto"/>
          </w:divBdr>
          <w:divsChild>
            <w:div w:id="189995363">
              <w:marLeft w:val="0"/>
              <w:marRight w:val="0"/>
              <w:marTop w:val="0"/>
              <w:marBottom w:val="0"/>
              <w:divBdr>
                <w:top w:val="none" w:sz="0" w:space="0" w:color="auto"/>
                <w:left w:val="none" w:sz="0" w:space="0" w:color="auto"/>
                <w:bottom w:val="none" w:sz="0" w:space="0" w:color="auto"/>
                <w:right w:val="none" w:sz="0" w:space="0" w:color="auto"/>
              </w:divBdr>
            </w:div>
            <w:div w:id="100536636">
              <w:marLeft w:val="0"/>
              <w:marRight w:val="0"/>
              <w:marTop w:val="0"/>
              <w:marBottom w:val="0"/>
              <w:divBdr>
                <w:top w:val="none" w:sz="0" w:space="0" w:color="auto"/>
                <w:left w:val="none" w:sz="0" w:space="0" w:color="auto"/>
                <w:bottom w:val="none" w:sz="0" w:space="0" w:color="auto"/>
                <w:right w:val="none" w:sz="0" w:space="0" w:color="auto"/>
              </w:divBdr>
            </w:div>
          </w:divsChild>
        </w:div>
        <w:div w:id="145901397">
          <w:marLeft w:val="0"/>
          <w:marRight w:val="0"/>
          <w:marTop w:val="0"/>
          <w:marBottom w:val="0"/>
          <w:divBdr>
            <w:top w:val="single" w:sz="6" w:space="11" w:color="DBDBDB"/>
            <w:left w:val="none" w:sz="0" w:space="0" w:color="auto"/>
            <w:bottom w:val="none" w:sz="0" w:space="0" w:color="auto"/>
            <w:right w:val="none" w:sz="0" w:space="0" w:color="auto"/>
          </w:divBdr>
          <w:divsChild>
            <w:div w:id="116072615">
              <w:marLeft w:val="0"/>
              <w:marRight w:val="0"/>
              <w:marTop w:val="0"/>
              <w:marBottom w:val="0"/>
              <w:divBdr>
                <w:top w:val="none" w:sz="0" w:space="0" w:color="auto"/>
                <w:left w:val="none" w:sz="0" w:space="0" w:color="auto"/>
                <w:bottom w:val="none" w:sz="0" w:space="0" w:color="auto"/>
                <w:right w:val="none" w:sz="0" w:space="0" w:color="auto"/>
              </w:divBdr>
            </w:div>
            <w:div w:id="914169078">
              <w:marLeft w:val="0"/>
              <w:marRight w:val="0"/>
              <w:marTop w:val="0"/>
              <w:marBottom w:val="0"/>
              <w:divBdr>
                <w:top w:val="none" w:sz="0" w:space="0" w:color="auto"/>
                <w:left w:val="none" w:sz="0" w:space="0" w:color="auto"/>
                <w:bottom w:val="none" w:sz="0" w:space="0" w:color="auto"/>
                <w:right w:val="none" w:sz="0" w:space="0" w:color="auto"/>
              </w:divBdr>
            </w:div>
          </w:divsChild>
        </w:div>
        <w:div w:id="132723172">
          <w:marLeft w:val="0"/>
          <w:marRight w:val="0"/>
          <w:marTop w:val="0"/>
          <w:marBottom w:val="0"/>
          <w:divBdr>
            <w:top w:val="single" w:sz="6" w:space="11" w:color="DBDBDB"/>
            <w:left w:val="none" w:sz="0" w:space="0" w:color="auto"/>
            <w:bottom w:val="none" w:sz="0" w:space="0" w:color="auto"/>
            <w:right w:val="none" w:sz="0" w:space="0" w:color="auto"/>
          </w:divBdr>
          <w:divsChild>
            <w:div w:id="546767187">
              <w:marLeft w:val="0"/>
              <w:marRight w:val="0"/>
              <w:marTop w:val="0"/>
              <w:marBottom w:val="0"/>
              <w:divBdr>
                <w:top w:val="none" w:sz="0" w:space="0" w:color="auto"/>
                <w:left w:val="none" w:sz="0" w:space="0" w:color="auto"/>
                <w:bottom w:val="none" w:sz="0" w:space="0" w:color="auto"/>
                <w:right w:val="none" w:sz="0" w:space="0" w:color="auto"/>
              </w:divBdr>
            </w:div>
            <w:div w:id="14589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irculaire.legifrance.gouv.fr/circulaire/id/45326?origin=list&amp;page=1&amp;pageSize=10&amp;sortValue=PUBLI_DATE_DESC&amp;tab_selection=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3189&amp;idArticle=LEGIARTI000029914732&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56536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5653551"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52D9-8469-4873-B236-5DF1A1A2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142</cp:revision>
  <dcterms:created xsi:type="dcterms:W3CDTF">2021-03-23T13:03:00Z</dcterms:created>
  <dcterms:modified xsi:type="dcterms:W3CDTF">2022-04-26T06:38:00Z</dcterms:modified>
</cp:coreProperties>
</file>