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12991263"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0C014A">
        <w:rPr>
          <w:b/>
        </w:rPr>
        <w:t>3</w:t>
      </w:r>
      <w:r w:rsidR="00D42A0F">
        <w:rPr>
          <w:b/>
        </w:rPr>
        <w:t xml:space="preserve"> du </w:t>
      </w:r>
      <w:r w:rsidR="000C014A">
        <w:rPr>
          <w:b/>
        </w:rPr>
        <w:t>4 mai</w:t>
      </w:r>
      <w:r w:rsidR="00D42A0F">
        <w:rPr>
          <w:b/>
        </w:rPr>
        <w:t xml:space="preserve"> </w:t>
      </w:r>
      <w:r w:rsidR="0072136B">
        <w:rPr>
          <w:b/>
        </w:rPr>
        <w:t>202</w:t>
      </w:r>
      <w:r w:rsidR="004F13E7">
        <w:rPr>
          <w:b/>
        </w:rPr>
        <w:t>2</w:t>
      </w:r>
    </w:p>
    <w:p w:rsidR="002369DF" w:rsidRDefault="004A7EC5" w:rsidP="00DB2DAA">
      <w:pPr>
        <w:pStyle w:val="NormalWeb"/>
        <w:jc w:val="center"/>
        <w:rPr>
          <w:rFonts w:asciiTheme="minorHAnsi" w:hAnsiTheme="minorHAnsi" w:cstheme="minorHAnsi"/>
          <w:b/>
          <w:bCs/>
          <w:sz w:val="22"/>
          <w:szCs w:val="22"/>
        </w:rPr>
      </w:pPr>
      <w:r w:rsidRPr="004A7EC5">
        <w:rPr>
          <w:rFonts w:asciiTheme="minorHAnsi" w:hAnsiTheme="minorHAnsi" w:cstheme="minorHAnsi"/>
          <w:b/>
          <w:bCs/>
          <w:sz w:val="22"/>
          <w:szCs w:val="22"/>
        </w:rPr>
        <w:t>Sport</w:t>
      </w:r>
      <w:r w:rsidR="00CE3DAE">
        <w:rPr>
          <w:rFonts w:asciiTheme="minorHAnsi" w:hAnsiTheme="minorHAnsi" w:cstheme="minorHAnsi"/>
          <w:b/>
          <w:bCs/>
          <w:sz w:val="22"/>
          <w:szCs w:val="22"/>
        </w:rPr>
        <w:t xml:space="preserve"> et jeunesse</w:t>
      </w:r>
      <w:r w:rsidRPr="004A7EC5">
        <w:rPr>
          <w:rFonts w:asciiTheme="minorHAnsi" w:hAnsiTheme="minorHAnsi" w:cstheme="minorHAnsi"/>
          <w:b/>
          <w:bCs/>
          <w:sz w:val="22"/>
          <w:szCs w:val="22"/>
        </w:rPr>
        <w:t xml:space="preserve"> : </w:t>
      </w:r>
      <w:r w:rsidR="00AC0BC8">
        <w:rPr>
          <w:rFonts w:asciiTheme="minorHAnsi" w:hAnsiTheme="minorHAnsi" w:cstheme="minorHAnsi"/>
          <w:b/>
          <w:bCs/>
          <w:sz w:val="22"/>
          <w:szCs w:val="22"/>
        </w:rPr>
        <w:t>1 avis, 1 décret</w:t>
      </w:r>
      <w:r w:rsidR="00F03161">
        <w:rPr>
          <w:rFonts w:asciiTheme="minorHAnsi" w:hAnsiTheme="minorHAnsi" w:cstheme="minorHAnsi"/>
          <w:b/>
          <w:bCs/>
          <w:sz w:val="22"/>
          <w:szCs w:val="22"/>
        </w:rPr>
        <w:t>,</w:t>
      </w:r>
      <w:r w:rsidR="00AC0BC8">
        <w:rPr>
          <w:rFonts w:asciiTheme="minorHAnsi" w:hAnsiTheme="minorHAnsi" w:cstheme="minorHAnsi"/>
          <w:b/>
          <w:bCs/>
          <w:sz w:val="22"/>
          <w:szCs w:val="22"/>
        </w:rPr>
        <w:t xml:space="preserve"> 1 circulaire</w:t>
      </w:r>
      <w:r w:rsidR="00FF5DF5">
        <w:rPr>
          <w:rFonts w:asciiTheme="minorHAnsi" w:hAnsiTheme="minorHAnsi" w:cstheme="minorHAnsi"/>
          <w:b/>
          <w:bCs/>
          <w:sz w:val="22"/>
          <w:szCs w:val="22"/>
        </w:rPr>
        <w:t>,</w:t>
      </w:r>
      <w:r w:rsidR="00F03161">
        <w:rPr>
          <w:rFonts w:asciiTheme="minorHAnsi" w:hAnsiTheme="minorHAnsi" w:cstheme="minorHAnsi"/>
          <w:b/>
          <w:bCs/>
          <w:sz w:val="22"/>
          <w:szCs w:val="22"/>
        </w:rPr>
        <w:t xml:space="preserve"> 1 note de service</w:t>
      </w:r>
      <w:r w:rsidR="00FF5DF5">
        <w:rPr>
          <w:rFonts w:asciiTheme="minorHAnsi" w:hAnsiTheme="minorHAnsi" w:cstheme="minorHAnsi"/>
          <w:b/>
          <w:bCs/>
          <w:sz w:val="22"/>
          <w:szCs w:val="22"/>
        </w:rPr>
        <w:t xml:space="preserve"> et 1 instruction</w:t>
      </w:r>
    </w:p>
    <w:p w:rsidR="00FF5DF5" w:rsidRDefault="00FF5DF5" w:rsidP="004A7EC5">
      <w:pPr>
        <w:pStyle w:val="NormalWeb"/>
        <w:rPr>
          <w:rFonts w:asciiTheme="minorHAnsi" w:hAnsiTheme="minorHAnsi" w:cstheme="minorHAnsi"/>
          <w:b/>
          <w:bCs/>
          <w:sz w:val="22"/>
          <w:szCs w:val="22"/>
        </w:rPr>
      </w:pPr>
    </w:p>
    <w:p w:rsidR="004A7EC5" w:rsidRDefault="00FF5DF5" w:rsidP="004A7EC5">
      <w:pPr>
        <w:pStyle w:val="NormalWeb"/>
        <w:rPr>
          <w:rFonts w:asciiTheme="minorHAnsi" w:hAnsiTheme="minorHAnsi" w:cstheme="minorHAnsi"/>
          <w:b/>
          <w:bCs/>
          <w:sz w:val="22"/>
          <w:szCs w:val="22"/>
        </w:rPr>
      </w:pPr>
      <w:r>
        <w:rPr>
          <w:rFonts w:asciiTheme="minorHAnsi" w:hAnsiTheme="minorHAnsi" w:cstheme="minorHAnsi"/>
          <w:b/>
          <w:bCs/>
          <w:sz w:val="22"/>
          <w:szCs w:val="22"/>
        </w:rPr>
        <w:t>Sport</w:t>
      </w:r>
    </w:p>
    <w:p w:rsidR="004A7EC5" w:rsidRPr="004A7EC5" w:rsidRDefault="0012693D" w:rsidP="004A7EC5">
      <w:pPr>
        <w:pStyle w:val="Titre1"/>
        <w:shd w:val="clear" w:color="auto" w:fill="FFFFFF"/>
        <w:spacing w:before="0" w:after="75"/>
        <w:rPr>
          <w:rFonts w:asciiTheme="minorHAnsi" w:hAnsiTheme="minorHAnsi" w:cstheme="minorHAnsi"/>
          <w:color w:val="auto"/>
          <w:sz w:val="22"/>
          <w:szCs w:val="22"/>
        </w:rPr>
      </w:pPr>
      <w:hyperlink r:id="rId10" w:history="1">
        <w:r w:rsidR="004A7EC5" w:rsidRPr="004A7EC5">
          <w:rPr>
            <w:rStyle w:val="Lienhypertexte"/>
            <w:rFonts w:asciiTheme="minorHAnsi" w:hAnsiTheme="minorHAnsi" w:cstheme="minorHAnsi"/>
            <w:bCs/>
            <w:sz w:val="22"/>
            <w:szCs w:val="22"/>
          </w:rPr>
          <w:t>Avis</w:t>
        </w:r>
      </w:hyperlink>
      <w:r w:rsidR="004A7EC5" w:rsidRPr="004A7EC5">
        <w:rPr>
          <w:rFonts w:asciiTheme="minorHAnsi" w:hAnsiTheme="minorHAnsi" w:cstheme="minorHAnsi"/>
          <w:bCs/>
          <w:color w:val="auto"/>
          <w:sz w:val="22"/>
          <w:szCs w:val="22"/>
        </w:rPr>
        <w:t xml:space="preserve"> relatif à l'extension d'avenants à la convention collective nationale du sport</w:t>
      </w:r>
    </w:p>
    <w:p w:rsidR="004A7EC5" w:rsidRDefault="004A7EC5" w:rsidP="004A7EC5">
      <w:pPr>
        <w:pStyle w:val="NormalWeb"/>
        <w:rPr>
          <w:rFonts w:asciiTheme="minorHAnsi" w:hAnsiTheme="minorHAnsi" w:cstheme="minorHAnsi"/>
          <w:bCs/>
          <w:sz w:val="22"/>
          <w:szCs w:val="22"/>
        </w:rPr>
      </w:pPr>
      <w:r w:rsidRPr="004A7EC5">
        <w:rPr>
          <w:rFonts w:asciiTheme="minorHAnsi" w:hAnsiTheme="minorHAnsi" w:cstheme="minorHAnsi"/>
          <w:bCs/>
          <w:sz w:val="22"/>
          <w:szCs w:val="22"/>
        </w:rPr>
        <w:t>Journal officiel du 20 avril 2022</w:t>
      </w:r>
    </w:p>
    <w:p w:rsidR="004A7EC5" w:rsidRDefault="004A7EC5" w:rsidP="004A7EC5">
      <w:pPr>
        <w:pStyle w:val="NormalWeb"/>
        <w:rPr>
          <w:rFonts w:asciiTheme="minorHAnsi" w:hAnsiTheme="minorHAnsi" w:cstheme="minorHAnsi"/>
          <w:color w:val="000000"/>
          <w:sz w:val="22"/>
          <w:szCs w:val="22"/>
          <w:shd w:val="clear" w:color="auto" w:fill="FFFFFF"/>
        </w:rPr>
      </w:pPr>
      <w:r w:rsidRPr="004A7EC5">
        <w:rPr>
          <w:rFonts w:asciiTheme="minorHAnsi" w:hAnsiTheme="minorHAnsi" w:cstheme="minorHAnsi"/>
          <w:color w:val="000000"/>
          <w:sz w:val="22"/>
          <w:szCs w:val="22"/>
          <w:shd w:val="clear" w:color="auto" w:fill="FFFFFF"/>
        </w:rPr>
        <w:t>En application de l'</w:t>
      </w:r>
      <w:hyperlink r:id="rId11" w:tooltip="Code du travail - art. L2261-15 (V)" w:history="1">
        <w:r w:rsidRPr="004A7EC5">
          <w:rPr>
            <w:rStyle w:val="Lienhypertexte"/>
            <w:rFonts w:asciiTheme="minorHAnsi" w:hAnsiTheme="minorHAnsi" w:cstheme="minorHAnsi"/>
            <w:color w:val="4A5E81"/>
            <w:sz w:val="22"/>
            <w:szCs w:val="22"/>
            <w:shd w:val="clear" w:color="auto" w:fill="FFFFFF"/>
          </w:rPr>
          <w:t>article L. 2261-15 du code du travail</w:t>
        </w:r>
      </w:hyperlink>
      <w:r w:rsidRPr="004A7EC5">
        <w:rPr>
          <w:rFonts w:asciiTheme="minorHAnsi" w:hAnsiTheme="minorHAnsi" w:cstheme="minorHAnsi"/>
          <w:color w:val="000000"/>
          <w:sz w:val="22"/>
          <w:szCs w:val="22"/>
          <w:shd w:val="clear" w:color="auto" w:fill="FFFFFF"/>
        </w:rPr>
        <w:t>, la ministre du travail, de l'emploi et de l'insertion envisage de prendre un arrêté tendant à rendre obligatoires, pour tous les employeurs et tous les salariés entrant dans leur champ d'application, les stipulations des avenants ci-après indiqués.</w:t>
      </w:r>
      <w:r w:rsidRPr="004A7EC5">
        <w:rPr>
          <w:rFonts w:asciiTheme="minorHAnsi" w:hAnsiTheme="minorHAnsi" w:cstheme="minorHAnsi"/>
          <w:color w:val="000000"/>
          <w:sz w:val="22"/>
          <w:szCs w:val="22"/>
        </w:rPr>
        <w:br/>
      </w:r>
      <w:r w:rsidRPr="004A7EC5">
        <w:rPr>
          <w:rFonts w:asciiTheme="minorHAnsi" w:hAnsiTheme="minorHAnsi" w:cstheme="minorHAnsi"/>
          <w:color w:val="000000"/>
          <w:sz w:val="22"/>
          <w:szCs w:val="22"/>
          <w:shd w:val="clear" w:color="auto" w:fill="FFFFFF"/>
        </w:rPr>
        <w:t>Ces avenants pourront être consultés en direction régionale de l'économie, de l'emploi, du travail et des solidarités.</w:t>
      </w:r>
      <w:r w:rsidRPr="004A7EC5">
        <w:rPr>
          <w:rFonts w:asciiTheme="minorHAnsi" w:hAnsiTheme="minorHAnsi" w:cstheme="minorHAnsi"/>
          <w:color w:val="000000"/>
          <w:sz w:val="22"/>
          <w:szCs w:val="22"/>
        </w:rPr>
        <w:br/>
      </w:r>
      <w:r w:rsidRPr="004A7EC5">
        <w:rPr>
          <w:rFonts w:asciiTheme="minorHAnsi" w:hAnsiTheme="minorHAnsi" w:cstheme="minorHAnsi"/>
          <w:color w:val="000000"/>
          <w:sz w:val="22"/>
          <w:szCs w:val="22"/>
          <w:shd w:val="clear" w:color="auto" w:fill="FFFFFF"/>
        </w:rPr>
        <w:t>Dans un délai de quinze jours, les organisations et toute personne intéressée sont priées de faire connaître leurs observations et avis au sujet de la généralisation envisagée.</w:t>
      </w:r>
      <w:r w:rsidRPr="004A7EC5">
        <w:rPr>
          <w:rFonts w:asciiTheme="minorHAnsi" w:hAnsiTheme="minorHAnsi" w:cstheme="minorHAnsi"/>
          <w:color w:val="000000"/>
          <w:sz w:val="22"/>
          <w:szCs w:val="22"/>
        </w:rPr>
        <w:br/>
      </w:r>
      <w:r w:rsidRPr="004A7EC5">
        <w:rPr>
          <w:rFonts w:asciiTheme="minorHAnsi" w:hAnsiTheme="minorHAnsi" w:cstheme="minorHAnsi"/>
          <w:color w:val="000000"/>
          <w:sz w:val="22"/>
          <w:szCs w:val="22"/>
          <w:shd w:val="clear" w:color="auto" w:fill="FFFFFF"/>
        </w:rPr>
        <w:t>Leurs communications devront être adressées au ministère du travail, de l'emploi et de l'insertion (DGT, bureau RT 2), 39/43, quai André-Citroën, 75902 Paris Cedex 15.</w:t>
      </w:r>
      <w:r w:rsidRPr="004A7EC5">
        <w:rPr>
          <w:rFonts w:asciiTheme="minorHAnsi" w:hAnsiTheme="minorHAnsi" w:cstheme="minorHAnsi"/>
          <w:color w:val="000000"/>
          <w:sz w:val="22"/>
          <w:szCs w:val="22"/>
        </w:rPr>
        <w:br/>
      </w:r>
      <w:r w:rsidRPr="004A7EC5">
        <w:rPr>
          <w:rFonts w:asciiTheme="minorHAnsi" w:hAnsiTheme="minorHAnsi" w:cstheme="minorHAnsi"/>
          <w:color w:val="000000"/>
          <w:sz w:val="22"/>
          <w:szCs w:val="22"/>
          <w:shd w:val="clear" w:color="auto" w:fill="FFFFFF"/>
        </w:rPr>
        <w:t>Dans un délai d'un mois, les organisations professionnelles d'employeurs reconnues représentatives au niveau des avenants peuvent s'opposer à leur extension.</w:t>
      </w:r>
    </w:p>
    <w:p w:rsidR="004A7EC5" w:rsidRDefault="004A7EC5" w:rsidP="004A7EC5">
      <w:pPr>
        <w:pStyle w:val="NormalWeb"/>
        <w:rPr>
          <w:rFonts w:asciiTheme="minorHAnsi" w:hAnsiTheme="minorHAnsi" w:cstheme="minorHAnsi"/>
          <w:color w:val="000000"/>
          <w:sz w:val="22"/>
          <w:szCs w:val="22"/>
          <w:shd w:val="clear" w:color="auto" w:fill="FFFFFF"/>
        </w:rPr>
      </w:pPr>
    </w:p>
    <w:p w:rsidR="004A7EC5" w:rsidRDefault="0012693D" w:rsidP="004A7EC5">
      <w:pPr>
        <w:pStyle w:val="Titre1"/>
        <w:shd w:val="clear" w:color="auto" w:fill="FFFFFF"/>
        <w:spacing w:before="0" w:after="75"/>
        <w:rPr>
          <w:rFonts w:asciiTheme="minorHAnsi" w:hAnsiTheme="minorHAnsi" w:cstheme="minorHAnsi"/>
          <w:bCs/>
          <w:color w:val="auto"/>
          <w:sz w:val="22"/>
          <w:szCs w:val="22"/>
        </w:rPr>
      </w:pPr>
      <w:hyperlink r:id="rId12" w:history="1">
        <w:r w:rsidR="004A7EC5" w:rsidRPr="004A7EC5">
          <w:rPr>
            <w:rStyle w:val="Lienhypertexte"/>
            <w:rFonts w:asciiTheme="minorHAnsi" w:hAnsiTheme="minorHAnsi" w:cstheme="minorHAnsi"/>
            <w:bCs/>
            <w:sz w:val="22"/>
            <w:szCs w:val="22"/>
          </w:rPr>
          <w:t>Décret n° 2022-673 du 26 avril 2022</w:t>
        </w:r>
      </w:hyperlink>
      <w:r w:rsidR="004A7EC5" w:rsidRPr="004A7EC5">
        <w:rPr>
          <w:rFonts w:asciiTheme="minorHAnsi" w:hAnsiTheme="minorHAnsi" w:cstheme="minorHAnsi"/>
          <w:bCs/>
          <w:color w:val="auto"/>
          <w:sz w:val="22"/>
          <w:szCs w:val="22"/>
        </w:rPr>
        <w:t xml:space="preserve"> relatif aux conditions dans lesquelles la durée du premier contrat de travail mentionné à l'article L. 211-5 du code du sport peut être portée de trois ans à cinq ans</w:t>
      </w:r>
    </w:p>
    <w:p w:rsidR="004A7EC5" w:rsidRDefault="004A7EC5" w:rsidP="004A7EC5">
      <w:r>
        <w:t>Journal officiel du 27 avril 2022</w:t>
      </w:r>
    </w:p>
    <w:p w:rsidR="004A7EC5" w:rsidRPr="004A7EC5" w:rsidRDefault="004A7EC5" w:rsidP="004A7EC5">
      <w:pPr>
        <w:jc w:val="both"/>
        <w:rPr>
          <w:rFonts w:cstheme="minorHAnsi"/>
        </w:rPr>
      </w:pPr>
      <w:r w:rsidRPr="004A7EC5">
        <w:rPr>
          <w:rFonts w:cstheme="minorHAnsi"/>
          <w:color w:val="000000"/>
          <w:shd w:val="clear" w:color="auto" w:fill="FFFFFF"/>
        </w:rPr>
        <w:t>Ce décret a pour objet de préciser les stipulations que doit obligatoirement contenir l'accord collectif de discipline pour que la durée maximale du premier contrat de travail mentionné à l'</w:t>
      </w:r>
      <w:hyperlink r:id="rId13" w:tooltip="Code du sport. - art. L211-5 (M)" w:history="1">
        <w:r w:rsidRPr="004A7EC5">
          <w:rPr>
            <w:rStyle w:val="Lienhypertexte"/>
            <w:rFonts w:cstheme="minorHAnsi"/>
            <w:color w:val="4A5E81"/>
            <w:shd w:val="clear" w:color="auto" w:fill="FFFFFF"/>
          </w:rPr>
          <w:t>article L. 211-5 du code du sport</w:t>
        </w:r>
      </w:hyperlink>
      <w:r w:rsidRPr="004A7EC5">
        <w:rPr>
          <w:rFonts w:cstheme="minorHAnsi"/>
          <w:color w:val="000000"/>
          <w:shd w:val="clear" w:color="auto" w:fill="FFFFFF"/>
        </w:rPr>
        <w:t> puisse être portée de trois à cinq ans.</w:t>
      </w:r>
    </w:p>
    <w:p w:rsidR="00AC0BC8" w:rsidRDefault="00AC0BC8">
      <w:pPr>
        <w:spacing w:after="160" w:line="259" w:lineRule="auto"/>
        <w:rPr>
          <w:rFonts w:eastAsia="Times New Roman" w:cstheme="minorHAnsi"/>
          <w:bCs/>
          <w:lang w:eastAsia="fr-FR"/>
        </w:rPr>
      </w:pPr>
      <w:r>
        <w:rPr>
          <w:rFonts w:cstheme="minorHAnsi"/>
          <w:bCs/>
        </w:rPr>
        <w:br w:type="page"/>
      </w:r>
    </w:p>
    <w:p w:rsidR="00AC0BC8" w:rsidRPr="00AC0BC8" w:rsidRDefault="0012693D" w:rsidP="00A81289">
      <w:pPr>
        <w:pStyle w:val="Titre3"/>
        <w:spacing w:before="315" w:after="315" w:line="240" w:lineRule="auto"/>
        <w:rPr>
          <w:rFonts w:asciiTheme="minorHAnsi" w:hAnsiTheme="minorHAnsi" w:cstheme="minorHAnsi"/>
          <w:sz w:val="22"/>
          <w:szCs w:val="22"/>
        </w:rPr>
      </w:pPr>
      <w:hyperlink r:id="rId14" w:history="1">
        <w:r w:rsidR="00AC0BC8" w:rsidRPr="00AC0BC8">
          <w:rPr>
            <w:rStyle w:val="Lienhypertexte"/>
            <w:rFonts w:asciiTheme="minorHAnsi" w:hAnsiTheme="minorHAnsi" w:cstheme="minorHAnsi"/>
            <w:sz w:val="22"/>
            <w:szCs w:val="22"/>
          </w:rPr>
          <w:t>Circulaire du 25/03/2022 </w:t>
        </w:r>
      </w:hyperlink>
      <w:r w:rsidR="00AC0BC8" w:rsidRPr="00AC0BC8">
        <w:rPr>
          <w:rFonts w:asciiTheme="minorHAnsi" w:hAnsiTheme="minorHAnsi" w:cstheme="minorHAnsi"/>
          <w:color w:val="auto"/>
          <w:sz w:val="22"/>
          <w:szCs w:val="22"/>
        </w:rPr>
        <w:t xml:space="preserve">: Baccalauréat général et technologique : </w:t>
      </w:r>
      <w:r w:rsidR="00AC0BC8" w:rsidRPr="00AC0BC8">
        <w:rPr>
          <w:rFonts w:asciiTheme="minorHAnsi" w:hAnsiTheme="minorHAnsi" w:cstheme="minorHAnsi"/>
          <w:bCs/>
          <w:color w:val="auto"/>
          <w:sz w:val="22"/>
          <w:szCs w:val="22"/>
        </w:rPr>
        <w:t>Évaluation de l'éducation physique et sportive, organisation du contrôle en cours de formation (CCF) et référentiel national d'évaluation : modification</w:t>
      </w:r>
      <w:r w:rsidR="00AC0BC8">
        <w:rPr>
          <w:rFonts w:asciiTheme="minorHAnsi" w:hAnsiTheme="minorHAnsi" w:cstheme="minorHAnsi"/>
          <w:bCs/>
          <w:color w:val="auto"/>
          <w:sz w:val="22"/>
          <w:szCs w:val="22"/>
        </w:rPr>
        <w:br/>
      </w:r>
      <w:r w:rsidR="00AC0BC8">
        <w:rPr>
          <w:rFonts w:asciiTheme="minorHAnsi" w:hAnsiTheme="minorHAnsi" w:cstheme="minorHAnsi"/>
          <w:bCs/>
          <w:color w:val="auto"/>
          <w:sz w:val="22"/>
          <w:szCs w:val="22"/>
        </w:rPr>
        <w:br/>
      </w:r>
      <w:r w:rsidR="00AC0BC8" w:rsidRPr="00AC0BC8">
        <w:rPr>
          <w:rFonts w:asciiTheme="minorHAnsi" w:hAnsiTheme="minorHAnsi" w:cstheme="minorHAnsi"/>
          <w:bCs/>
          <w:color w:val="auto"/>
          <w:sz w:val="22"/>
          <w:szCs w:val="22"/>
        </w:rPr>
        <w:t>BOENJS n° 17 du 28 avril 2022</w:t>
      </w:r>
      <w:r w:rsidR="00A81289">
        <w:rPr>
          <w:rFonts w:asciiTheme="minorHAnsi" w:hAnsiTheme="minorHAnsi" w:cstheme="minorHAnsi"/>
          <w:bCs/>
          <w:color w:val="auto"/>
          <w:sz w:val="22"/>
          <w:szCs w:val="22"/>
        </w:rPr>
        <w:br/>
      </w:r>
      <w:r w:rsidR="00A81289">
        <w:rPr>
          <w:rFonts w:asciiTheme="minorHAnsi" w:hAnsiTheme="minorHAnsi" w:cstheme="minorHAnsi"/>
          <w:bCs/>
          <w:color w:val="auto"/>
          <w:sz w:val="22"/>
          <w:szCs w:val="22"/>
        </w:rPr>
        <w:br/>
      </w:r>
      <w:r w:rsidR="00AC0BC8" w:rsidRPr="00AC0BC8">
        <w:rPr>
          <w:rFonts w:asciiTheme="minorHAnsi" w:hAnsiTheme="minorHAnsi" w:cstheme="minorHAnsi"/>
          <w:color w:val="000000"/>
          <w:sz w:val="22"/>
          <w:szCs w:val="22"/>
        </w:rPr>
        <w:t>L'annexe 1 de la circulaire n° 2019-129 du 26 septembre 2019 intitulée « Évaluation de l'éducation physique et sportive, organisation du contrôle en cours de formation (CCF) et référentiel national d'évaluation », est remplacée par l'annexe de la présente circulaire. Les champs d'apprentissage ayant fait l'objet de modifications sont les champs n° 1, 3 et 4.</w:t>
      </w:r>
    </w:p>
    <w:p w:rsidR="00FF5DF5" w:rsidRDefault="00FF5DF5" w:rsidP="00FF5DF5">
      <w:pPr>
        <w:pStyle w:val="Titre1"/>
        <w:spacing w:before="0" w:after="120"/>
        <w:rPr>
          <w:rFonts w:asciiTheme="minorHAnsi" w:hAnsiTheme="minorHAnsi" w:cstheme="minorHAnsi"/>
          <w:bCs/>
          <w:color w:val="auto"/>
          <w:sz w:val="22"/>
          <w:szCs w:val="22"/>
        </w:rPr>
      </w:pPr>
    </w:p>
    <w:p w:rsidR="00FF5DF5" w:rsidRDefault="00FF5DF5" w:rsidP="00FF5DF5">
      <w:pPr>
        <w:pStyle w:val="Titre1"/>
        <w:spacing w:before="0" w:after="120"/>
        <w:rPr>
          <w:rFonts w:asciiTheme="minorHAnsi" w:hAnsiTheme="minorHAnsi" w:cstheme="minorHAnsi"/>
          <w:bCs/>
          <w:color w:val="auto"/>
          <w:sz w:val="22"/>
          <w:szCs w:val="22"/>
        </w:rPr>
      </w:pPr>
      <w:hyperlink r:id="rId15" w:history="1">
        <w:r w:rsidRPr="00FF5DF5">
          <w:rPr>
            <w:rStyle w:val="Lienhypertexte"/>
            <w:rFonts w:asciiTheme="minorHAnsi" w:hAnsiTheme="minorHAnsi" w:cstheme="minorHAnsi"/>
            <w:bCs/>
            <w:sz w:val="22"/>
            <w:szCs w:val="22"/>
          </w:rPr>
          <w:t>Instruction interministérielle</w:t>
        </w:r>
      </w:hyperlink>
      <w:r>
        <w:rPr>
          <w:rFonts w:asciiTheme="minorHAnsi" w:hAnsiTheme="minorHAnsi" w:cstheme="minorHAnsi"/>
          <w:bCs/>
          <w:color w:val="auto"/>
          <w:sz w:val="22"/>
          <w:szCs w:val="22"/>
        </w:rPr>
        <w:t xml:space="preserve"> rel</w:t>
      </w:r>
      <w:r w:rsidRPr="00FF5DF5">
        <w:rPr>
          <w:rFonts w:asciiTheme="minorHAnsi" w:hAnsiTheme="minorHAnsi" w:cstheme="minorHAnsi"/>
          <w:bCs/>
          <w:color w:val="auto"/>
          <w:sz w:val="22"/>
          <w:szCs w:val="22"/>
        </w:rPr>
        <w:t>ative à la procédure d'évaluation des dossiers de candidature déposés dans le cadre du quatrième appel à projets "Maisons Sport-Santé" MSS</w:t>
      </w:r>
    </w:p>
    <w:p w:rsidR="00FF5DF5" w:rsidRDefault="00FF5DF5" w:rsidP="00FF5DF5">
      <w:r>
        <w:t>Instruction Légifrance mise en ligne le 29 avril 2022</w:t>
      </w:r>
    </w:p>
    <w:p w:rsidR="00FF5DF5" w:rsidRPr="00FF5DF5" w:rsidRDefault="00FF5DF5" w:rsidP="00FF5DF5">
      <w:r w:rsidRPr="00FF5DF5">
        <w:rPr>
          <w:rFonts w:cstheme="minorHAnsi"/>
          <w:color w:val="000000"/>
          <w:shd w:val="clear" w:color="auto" w:fill="FFFFFF"/>
        </w:rPr>
        <w:t>La présente instruction a pour objet de vous présenter la procédure d'évaluation des dossiers de candidature déposés dans le cadre de l'appel à projets "Maisons Sport-Santé" en vue du référencement des "Maisons Sport-Santé" et de demander votre participation à cette procédure</w:t>
      </w:r>
      <w:r>
        <w:rPr>
          <w:rFonts w:cstheme="minorHAnsi"/>
          <w:color w:val="000000"/>
          <w:shd w:val="clear" w:color="auto" w:fill="FFFFFF"/>
        </w:rPr>
        <w:t>.</w:t>
      </w:r>
    </w:p>
    <w:p w:rsidR="00FF5DF5" w:rsidRDefault="00FF5DF5" w:rsidP="004A7EC5">
      <w:pPr>
        <w:pStyle w:val="NormalWeb"/>
        <w:rPr>
          <w:rFonts w:asciiTheme="minorHAnsi" w:hAnsiTheme="minorHAnsi" w:cstheme="minorHAnsi"/>
          <w:b/>
          <w:bCs/>
          <w:sz w:val="22"/>
          <w:szCs w:val="22"/>
        </w:rPr>
      </w:pPr>
    </w:p>
    <w:p w:rsidR="00AC0BC8" w:rsidRPr="00FF5DF5" w:rsidRDefault="00FF5DF5" w:rsidP="004A7EC5">
      <w:pPr>
        <w:pStyle w:val="NormalWeb"/>
        <w:rPr>
          <w:rFonts w:asciiTheme="minorHAnsi" w:hAnsiTheme="minorHAnsi" w:cstheme="minorHAnsi"/>
          <w:b/>
          <w:bCs/>
          <w:sz w:val="22"/>
          <w:szCs w:val="22"/>
        </w:rPr>
      </w:pPr>
      <w:r w:rsidRPr="00FF5DF5">
        <w:rPr>
          <w:rFonts w:asciiTheme="minorHAnsi" w:hAnsiTheme="minorHAnsi" w:cstheme="minorHAnsi"/>
          <w:b/>
          <w:bCs/>
          <w:sz w:val="22"/>
          <w:szCs w:val="22"/>
        </w:rPr>
        <w:t>Jeunesse</w:t>
      </w:r>
    </w:p>
    <w:p w:rsidR="00E57644" w:rsidRPr="00E57644" w:rsidRDefault="0012693D" w:rsidP="00E57644">
      <w:pPr>
        <w:pStyle w:val="NormalWeb"/>
        <w:rPr>
          <w:rFonts w:asciiTheme="minorHAnsi" w:hAnsiTheme="minorHAnsi" w:cstheme="minorHAnsi"/>
          <w:color w:val="000000"/>
          <w:sz w:val="22"/>
          <w:szCs w:val="22"/>
        </w:rPr>
      </w:pPr>
      <w:hyperlink r:id="rId16" w:history="1">
        <w:r w:rsidR="00E57644" w:rsidRPr="00E57644">
          <w:rPr>
            <w:rStyle w:val="Lienhypertexte"/>
            <w:rFonts w:asciiTheme="minorHAnsi" w:hAnsiTheme="minorHAnsi" w:cstheme="minorHAnsi"/>
            <w:sz w:val="22"/>
            <w:szCs w:val="22"/>
          </w:rPr>
          <w:t>Note de service du 25/03/2022 </w:t>
        </w:r>
      </w:hyperlink>
      <w:r w:rsidR="00E57644" w:rsidRPr="00E57644">
        <w:rPr>
          <w:rFonts w:asciiTheme="minorHAnsi" w:hAnsiTheme="minorHAnsi" w:cstheme="minorHAnsi"/>
          <w:sz w:val="22"/>
          <w:szCs w:val="22"/>
        </w:rPr>
        <w:t xml:space="preserve">: Jeunesse, engagement et sport : </w:t>
      </w:r>
      <w:r w:rsidR="00E57644" w:rsidRPr="00E57644">
        <w:rPr>
          <w:rFonts w:asciiTheme="minorHAnsi" w:hAnsiTheme="minorHAnsi" w:cstheme="minorHAnsi"/>
          <w:bCs/>
          <w:sz w:val="22"/>
          <w:szCs w:val="22"/>
        </w:rPr>
        <w:t>Continuité de mise en œuvre des missions relatives à la jeunesse, à l'engagement et au sport</w:t>
      </w:r>
      <w:r w:rsidR="00E57644">
        <w:rPr>
          <w:rFonts w:asciiTheme="minorHAnsi" w:hAnsiTheme="minorHAnsi" w:cstheme="minorHAnsi"/>
          <w:bCs/>
          <w:sz w:val="22"/>
          <w:szCs w:val="22"/>
        </w:rPr>
        <w:br/>
      </w:r>
      <w:r w:rsidR="00E57644">
        <w:rPr>
          <w:rFonts w:asciiTheme="minorHAnsi" w:hAnsiTheme="minorHAnsi" w:cstheme="minorHAnsi"/>
          <w:bCs/>
          <w:sz w:val="22"/>
          <w:szCs w:val="22"/>
        </w:rPr>
        <w:br/>
      </w:r>
      <w:r w:rsidR="00E57644" w:rsidRPr="00AC0BC8">
        <w:rPr>
          <w:rFonts w:asciiTheme="minorHAnsi" w:hAnsiTheme="minorHAnsi" w:cstheme="minorHAnsi"/>
          <w:bCs/>
          <w:sz w:val="22"/>
          <w:szCs w:val="22"/>
        </w:rPr>
        <w:t>BOENJS n° 17 du 28 avril 2022</w:t>
      </w:r>
      <w:r w:rsidR="00E57644">
        <w:rPr>
          <w:rFonts w:asciiTheme="minorHAnsi" w:hAnsiTheme="minorHAnsi" w:cstheme="minorHAnsi"/>
          <w:bCs/>
          <w:sz w:val="22"/>
          <w:szCs w:val="22"/>
        </w:rPr>
        <w:br/>
      </w:r>
      <w:r w:rsidR="00E57644">
        <w:rPr>
          <w:rFonts w:asciiTheme="minorHAnsi" w:hAnsiTheme="minorHAnsi" w:cstheme="minorHAnsi"/>
          <w:bCs/>
          <w:sz w:val="22"/>
          <w:szCs w:val="22"/>
        </w:rPr>
        <w:br/>
      </w:r>
      <w:r w:rsidR="00E57644" w:rsidRPr="00E57644">
        <w:rPr>
          <w:rFonts w:asciiTheme="minorHAnsi" w:hAnsiTheme="minorHAnsi" w:cstheme="minorHAnsi"/>
          <w:color w:val="000000"/>
          <w:sz w:val="22"/>
          <w:szCs w:val="22"/>
        </w:rPr>
        <w:t>Le décret n° 2020-1542 du 9 décembre 2020 est venu élargir les compétences des autorités académiques aux domaines des politiques de la jeunesse, de l'éducation populaire, de la vie associative, de l'engagement civique et des sports.</w:t>
      </w:r>
    </w:p>
    <w:p w:rsidR="00E57644" w:rsidRPr="00E57644" w:rsidRDefault="00E57644" w:rsidP="00E57644">
      <w:pPr>
        <w:spacing w:after="100" w:afterAutospacing="1" w:line="240" w:lineRule="auto"/>
        <w:rPr>
          <w:rFonts w:eastAsia="Times New Roman" w:cstheme="minorHAnsi"/>
          <w:color w:val="000000"/>
          <w:lang w:eastAsia="fr-FR"/>
        </w:rPr>
      </w:pPr>
      <w:r w:rsidRPr="00E57644">
        <w:rPr>
          <w:rFonts w:eastAsia="Times New Roman" w:cstheme="minorHAnsi"/>
          <w:color w:val="000000"/>
          <w:lang w:eastAsia="fr-FR"/>
        </w:rPr>
        <w:t>La nature de certaines des compétences et missions ainsi confiées aux recteurs de région académique et aux directeurs des services départementaux de l'éducation nationale (</w:t>
      </w:r>
      <w:proofErr w:type="spellStart"/>
      <w:r w:rsidRPr="00E57644">
        <w:rPr>
          <w:rFonts w:eastAsia="Times New Roman" w:cstheme="minorHAnsi"/>
          <w:color w:val="000000"/>
          <w:lang w:eastAsia="fr-FR"/>
        </w:rPr>
        <w:t>Dasen</w:t>
      </w:r>
      <w:proofErr w:type="spellEnd"/>
      <w:r w:rsidRPr="00E57644">
        <w:rPr>
          <w:rFonts w:eastAsia="Times New Roman" w:cstheme="minorHAnsi"/>
          <w:color w:val="000000"/>
          <w:lang w:eastAsia="fr-FR"/>
        </w:rPr>
        <w:t>) nécessite d'adapter la temporalité et le fonctionnement de ces services afin de garantir la continuité de leur mise en œuvre tout au long de l'année.</w:t>
      </w:r>
    </w:p>
    <w:p w:rsidR="00E57644" w:rsidRPr="00E57644" w:rsidRDefault="00E57644" w:rsidP="00E57644">
      <w:pPr>
        <w:spacing w:after="100" w:afterAutospacing="1" w:line="240" w:lineRule="auto"/>
        <w:rPr>
          <w:rFonts w:eastAsia="Times New Roman" w:cstheme="minorHAnsi"/>
          <w:color w:val="000000"/>
          <w:lang w:eastAsia="fr-FR"/>
        </w:rPr>
      </w:pPr>
      <w:r w:rsidRPr="00E57644">
        <w:rPr>
          <w:rFonts w:eastAsia="Times New Roman" w:cstheme="minorHAnsi"/>
          <w:color w:val="000000"/>
          <w:lang w:eastAsia="fr-FR"/>
        </w:rPr>
        <w:t>Je vous demande en conséquence de veiller à mettre en place une organisation de nature à garantir la mise en œuvre continue tout au long de l'année des missions qui le nécessitent.</w:t>
      </w:r>
    </w:p>
    <w:p w:rsidR="00E57644" w:rsidRPr="00E57644" w:rsidRDefault="00E57644" w:rsidP="00E57644">
      <w:pPr>
        <w:spacing w:after="100" w:afterAutospacing="1" w:line="240" w:lineRule="auto"/>
        <w:rPr>
          <w:rFonts w:eastAsia="Times New Roman" w:cstheme="minorHAnsi"/>
          <w:color w:val="000000"/>
          <w:lang w:eastAsia="fr-FR"/>
        </w:rPr>
      </w:pPr>
      <w:r w:rsidRPr="00E57644">
        <w:rPr>
          <w:rFonts w:eastAsia="Times New Roman" w:cstheme="minorHAnsi"/>
          <w:color w:val="000000"/>
          <w:lang w:eastAsia="fr-FR"/>
        </w:rPr>
        <w:t>La présente note de service précise le socle des missions dont la mise en œuvre doit être assurée de manière continue toute l'année (I), fixe le cadre général d'organisation des services (II) et rappelle les modalités d'organisation du temps de travail des agents chargés de mettre en œuvre ces missions (III). </w:t>
      </w:r>
    </w:p>
    <w:p w:rsidR="00E57644" w:rsidRDefault="00E57644" w:rsidP="00E57644">
      <w:pPr>
        <w:pStyle w:val="Titre3"/>
        <w:spacing w:before="315" w:after="315" w:line="240" w:lineRule="auto"/>
        <w:rPr>
          <w:rFonts w:asciiTheme="minorHAnsi" w:hAnsiTheme="minorHAnsi" w:cstheme="minorHAnsi"/>
          <w:bCs/>
          <w:sz w:val="22"/>
          <w:szCs w:val="22"/>
        </w:rPr>
      </w:pPr>
    </w:p>
    <w:p w:rsidR="00AC0BC8" w:rsidRPr="004A7EC5" w:rsidRDefault="00AC0BC8" w:rsidP="004A7EC5">
      <w:pPr>
        <w:pStyle w:val="NormalWeb"/>
        <w:rPr>
          <w:rFonts w:asciiTheme="minorHAnsi" w:hAnsiTheme="minorHAnsi" w:cstheme="minorHAnsi"/>
          <w:bCs/>
          <w:sz w:val="22"/>
          <w:szCs w:val="22"/>
        </w:rPr>
      </w:pPr>
      <w:bookmarkStart w:id="1" w:name="_GoBack"/>
      <w:bookmarkEnd w:id="1"/>
    </w:p>
    <w:sectPr w:rsidR="00AC0BC8" w:rsidRPr="004A7E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3D" w:rsidRDefault="0012693D" w:rsidP="00943B28">
      <w:pPr>
        <w:spacing w:after="0" w:line="240" w:lineRule="auto"/>
      </w:pPr>
      <w:r>
        <w:separator/>
      </w:r>
    </w:p>
  </w:endnote>
  <w:endnote w:type="continuationSeparator" w:id="0">
    <w:p w:rsidR="0012693D" w:rsidRDefault="0012693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F5DF5">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3D" w:rsidRDefault="0012693D" w:rsidP="00943B28">
      <w:pPr>
        <w:spacing w:after="0" w:line="240" w:lineRule="auto"/>
      </w:pPr>
      <w:r>
        <w:separator/>
      </w:r>
    </w:p>
  </w:footnote>
  <w:footnote w:type="continuationSeparator" w:id="0">
    <w:p w:rsidR="0012693D" w:rsidRDefault="0012693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376C"/>
    <w:multiLevelType w:val="multilevel"/>
    <w:tmpl w:val="D71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0"/>
  </w:num>
  <w:num w:numId="5">
    <w:abstractNumId w:val="0"/>
  </w:num>
  <w:num w:numId="6">
    <w:abstractNumId w:val="8"/>
  </w:num>
  <w:num w:numId="7">
    <w:abstractNumId w:val="4"/>
  </w:num>
  <w:num w:numId="8">
    <w:abstractNumId w:val="11"/>
  </w:num>
  <w:num w:numId="9">
    <w:abstractNumId w:val="14"/>
  </w:num>
  <w:num w:numId="10">
    <w:abstractNumId w:val="13"/>
  </w:num>
  <w:num w:numId="11">
    <w:abstractNumId w:val="5"/>
  </w:num>
  <w:num w:numId="12">
    <w:abstractNumId w:val="7"/>
  </w:num>
  <w:num w:numId="13">
    <w:abstractNumId w:val="6"/>
  </w:num>
  <w:num w:numId="14">
    <w:abstractNumId w:val="9"/>
  </w:num>
  <w:num w:numId="15">
    <w:abstractNumId w:val="3"/>
  </w:num>
  <w:num w:numId="16">
    <w:abstractNumId w:val="12"/>
  </w:num>
  <w:num w:numId="17">
    <w:abstractNumId w:val="1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014A"/>
    <w:rsid w:val="000C4C9E"/>
    <w:rsid w:val="000D111E"/>
    <w:rsid w:val="000E4A2F"/>
    <w:rsid w:val="001170D3"/>
    <w:rsid w:val="0012693D"/>
    <w:rsid w:val="00140FBE"/>
    <w:rsid w:val="001450BC"/>
    <w:rsid w:val="00152876"/>
    <w:rsid w:val="00176BC1"/>
    <w:rsid w:val="001B56A7"/>
    <w:rsid w:val="001F2016"/>
    <w:rsid w:val="002046A4"/>
    <w:rsid w:val="00216DBB"/>
    <w:rsid w:val="00220F47"/>
    <w:rsid w:val="00225549"/>
    <w:rsid w:val="002369DF"/>
    <w:rsid w:val="002658C3"/>
    <w:rsid w:val="00281228"/>
    <w:rsid w:val="00291C56"/>
    <w:rsid w:val="00297406"/>
    <w:rsid w:val="002A0328"/>
    <w:rsid w:val="002B240B"/>
    <w:rsid w:val="002B5A9E"/>
    <w:rsid w:val="002B729E"/>
    <w:rsid w:val="002B76EA"/>
    <w:rsid w:val="002C0398"/>
    <w:rsid w:val="002E1BE8"/>
    <w:rsid w:val="003050F2"/>
    <w:rsid w:val="00311061"/>
    <w:rsid w:val="003122A0"/>
    <w:rsid w:val="00316F2A"/>
    <w:rsid w:val="00322180"/>
    <w:rsid w:val="00326987"/>
    <w:rsid w:val="003371A7"/>
    <w:rsid w:val="00350E31"/>
    <w:rsid w:val="003546B6"/>
    <w:rsid w:val="00373AF6"/>
    <w:rsid w:val="00376092"/>
    <w:rsid w:val="003805B2"/>
    <w:rsid w:val="00381724"/>
    <w:rsid w:val="00386267"/>
    <w:rsid w:val="00391D5E"/>
    <w:rsid w:val="003C12BD"/>
    <w:rsid w:val="003D2209"/>
    <w:rsid w:val="004165FD"/>
    <w:rsid w:val="00426574"/>
    <w:rsid w:val="004440D3"/>
    <w:rsid w:val="00445921"/>
    <w:rsid w:val="00460340"/>
    <w:rsid w:val="00467419"/>
    <w:rsid w:val="00474371"/>
    <w:rsid w:val="0049467C"/>
    <w:rsid w:val="004A4860"/>
    <w:rsid w:val="004A7EC5"/>
    <w:rsid w:val="004B2B29"/>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51382"/>
    <w:rsid w:val="00852B36"/>
    <w:rsid w:val="00874F3E"/>
    <w:rsid w:val="00885A88"/>
    <w:rsid w:val="00890A43"/>
    <w:rsid w:val="00895031"/>
    <w:rsid w:val="008C4E3B"/>
    <w:rsid w:val="008D3C1E"/>
    <w:rsid w:val="008E640E"/>
    <w:rsid w:val="00901B92"/>
    <w:rsid w:val="009023CD"/>
    <w:rsid w:val="00904553"/>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E6F04"/>
    <w:rsid w:val="009F0AD0"/>
    <w:rsid w:val="00A0075B"/>
    <w:rsid w:val="00A07A83"/>
    <w:rsid w:val="00A304F7"/>
    <w:rsid w:val="00A63ABC"/>
    <w:rsid w:val="00A64284"/>
    <w:rsid w:val="00A81289"/>
    <w:rsid w:val="00A91312"/>
    <w:rsid w:val="00A92CF3"/>
    <w:rsid w:val="00AB1661"/>
    <w:rsid w:val="00AB521C"/>
    <w:rsid w:val="00AB6042"/>
    <w:rsid w:val="00AC0BC8"/>
    <w:rsid w:val="00AC5BCC"/>
    <w:rsid w:val="00AD3799"/>
    <w:rsid w:val="00B042D6"/>
    <w:rsid w:val="00B1217E"/>
    <w:rsid w:val="00B21FE5"/>
    <w:rsid w:val="00B2213E"/>
    <w:rsid w:val="00B33688"/>
    <w:rsid w:val="00B3470A"/>
    <w:rsid w:val="00B62CA3"/>
    <w:rsid w:val="00B64118"/>
    <w:rsid w:val="00B6679B"/>
    <w:rsid w:val="00B71459"/>
    <w:rsid w:val="00BA32C4"/>
    <w:rsid w:val="00BA5951"/>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3DAE"/>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57644"/>
    <w:rsid w:val="00E75703"/>
    <w:rsid w:val="00E90886"/>
    <w:rsid w:val="00EA0630"/>
    <w:rsid w:val="00EA214F"/>
    <w:rsid w:val="00EE1488"/>
    <w:rsid w:val="00EE475F"/>
    <w:rsid w:val="00EF08E3"/>
    <w:rsid w:val="00EF6DFB"/>
    <w:rsid w:val="00F03161"/>
    <w:rsid w:val="00F10019"/>
    <w:rsid w:val="00F12F6D"/>
    <w:rsid w:val="00F15410"/>
    <w:rsid w:val="00F35C24"/>
    <w:rsid w:val="00F413E5"/>
    <w:rsid w:val="00F6302F"/>
    <w:rsid w:val="00FA3425"/>
    <w:rsid w:val="00FA5381"/>
    <w:rsid w:val="00FC11B3"/>
    <w:rsid w:val="00FE1A71"/>
    <w:rsid w:val="00FE51E5"/>
    <w:rsid w:val="00FF5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BC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069593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23932738">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053336">
      <w:bodyDiv w:val="1"/>
      <w:marLeft w:val="0"/>
      <w:marRight w:val="0"/>
      <w:marTop w:val="0"/>
      <w:marBottom w:val="0"/>
      <w:divBdr>
        <w:top w:val="none" w:sz="0" w:space="0" w:color="auto"/>
        <w:left w:val="none" w:sz="0" w:space="0" w:color="auto"/>
        <w:bottom w:val="none" w:sz="0" w:space="0" w:color="auto"/>
        <w:right w:val="none" w:sz="0" w:space="0" w:color="auto"/>
      </w:divBdr>
      <w:divsChild>
        <w:div w:id="1059746170">
          <w:marLeft w:val="0"/>
          <w:marRight w:val="0"/>
          <w:marTop w:val="0"/>
          <w:marBottom w:val="345"/>
          <w:divBdr>
            <w:top w:val="none" w:sz="0" w:space="0" w:color="auto"/>
            <w:left w:val="none" w:sz="0" w:space="0" w:color="auto"/>
            <w:bottom w:val="none" w:sz="0" w:space="0" w:color="auto"/>
            <w:right w:val="none" w:sz="0" w:space="0" w:color="auto"/>
          </w:divBdr>
        </w:div>
      </w:divsChild>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86352622">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2868289">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39440173">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63560981">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458">
      <w:bodyDiv w:val="1"/>
      <w:marLeft w:val="0"/>
      <w:marRight w:val="0"/>
      <w:marTop w:val="0"/>
      <w:marBottom w:val="0"/>
      <w:divBdr>
        <w:top w:val="none" w:sz="0" w:space="0" w:color="auto"/>
        <w:left w:val="none" w:sz="0" w:space="0" w:color="auto"/>
        <w:bottom w:val="none" w:sz="0" w:space="0" w:color="auto"/>
        <w:right w:val="none" w:sz="0" w:space="0" w:color="auto"/>
      </w:divBdr>
    </w:div>
    <w:div w:id="185611316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39752891">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4908773">
      <w:bodyDiv w:val="1"/>
      <w:marLeft w:val="0"/>
      <w:marRight w:val="0"/>
      <w:marTop w:val="0"/>
      <w:marBottom w:val="0"/>
      <w:divBdr>
        <w:top w:val="none" w:sz="0" w:space="0" w:color="auto"/>
        <w:left w:val="none" w:sz="0" w:space="0" w:color="auto"/>
        <w:bottom w:val="none" w:sz="0" w:space="0" w:color="auto"/>
        <w:right w:val="none" w:sz="0" w:space="0" w:color="auto"/>
      </w:divBdr>
      <w:divsChild>
        <w:div w:id="1189874359">
          <w:marLeft w:val="0"/>
          <w:marRight w:val="0"/>
          <w:marTop w:val="0"/>
          <w:marBottom w:val="0"/>
          <w:divBdr>
            <w:top w:val="single" w:sz="6" w:space="11" w:color="DBDBDB"/>
            <w:left w:val="none" w:sz="0" w:space="0" w:color="auto"/>
            <w:bottom w:val="none" w:sz="0" w:space="0" w:color="auto"/>
            <w:right w:val="none" w:sz="0" w:space="0" w:color="auto"/>
          </w:divBdr>
          <w:divsChild>
            <w:div w:id="189995363">
              <w:marLeft w:val="0"/>
              <w:marRight w:val="0"/>
              <w:marTop w:val="0"/>
              <w:marBottom w:val="0"/>
              <w:divBdr>
                <w:top w:val="none" w:sz="0" w:space="0" w:color="auto"/>
                <w:left w:val="none" w:sz="0" w:space="0" w:color="auto"/>
                <w:bottom w:val="none" w:sz="0" w:space="0" w:color="auto"/>
                <w:right w:val="none" w:sz="0" w:space="0" w:color="auto"/>
              </w:divBdr>
            </w:div>
            <w:div w:id="100536636">
              <w:marLeft w:val="0"/>
              <w:marRight w:val="0"/>
              <w:marTop w:val="0"/>
              <w:marBottom w:val="0"/>
              <w:divBdr>
                <w:top w:val="none" w:sz="0" w:space="0" w:color="auto"/>
                <w:left w:val="none" w:sz="0" w:space="0" w:color="auto"/>
                <w:bottom w:val="none" w:sz="0" w:space="0" w:color="auto"/>
                <w:right w:val="none" w:sz="0" w:space="0" w:color="auto"/>
              </w:divBdr>
            </w:div>
          </w:divsChild>
        </w:div>
        <w:div w:id="145901397">
          <w:marLeft w:val="0"/>
          <w:marRight w:val="0"/>
          <w:marTop w:val="0"/>
          <w:marBottom w:val="0"/>
          <w:divBdr>
            <w:top w:val="single" w:sz="6" w:space="11" w:color="DBDBDB"/>
            <w:left w:val="none" w:sz="0" w:space="0" w:color="auto"/>
            <w:bottom w:val="none" w:sz="0" w:space="0" w:color="auto"/>
            <w:right w:val="none" w:sz="0" w:space="0" w:color="auto"/>
          </w:divBdr>
          <w:divsChild>
            <w:div w:id="116072615">
              <w:marLeft w:val="0"/>
              <w:marRight w:val="0"/>
              <w:marTop w:val="0"/>
              <w:marBottom w:val="0"/>
              <w:divBdr>
                <w:top w:val="none" w:sz="0" w:space="0" w:color="auto"/>
                <w:left w:val="none" w:sz="0" w:space="0" w:color="auto"/>
                <w:bottom w:val="none" w:sz="0" w:space="0" w:color="auto"/>
                <w:right w:val="none" w:sz="0" w:space="0" w:color="auto"/>
              </w:divBdr>
            </w:div>
            <w:div w:id="914169078">
              <w:marLeft w:val="0"/>
              <w:marRight w:val="0"/>
              <w:marTop w:val="0"/>
              <w:marBottom w:val="0"/>
              <w:divBdr>
                <w:top w:val="none" w:sz="0" w:space="0" w:color="auto"/>
                <w:left w:val="none" w:sz="0" w:space="0" w:color="auto"/>
                <w:bottom w:val="none" w:sz="0" w:space="0" w:color="auto"/>
                <w:right w:val="none" w:sz="0" w:space="0" w:color="auto"/>
              </w:divBdr>
            </w:div>
          </w:divsChild>
        </w:div>
        <w:div w:id="132723172">
          <w:marLeft w:val="0"/>
          <w:marRight w:val="0"/>
          <w:marTop w:val="0"/>
          <w:marBottom w:val="0"/>
          <w:divBdr>
            <w:top w:val="single" w:sz="6" w:space="11" w:color="DBDBDB"/>
            <w:left w:val="none" w:sz="0" w:space="0" w:color="auto"/>
            <w:bottom w:val="none" w:sz="0" w:space="0" w:color="auto"/>
            <w:right w:val="none" w:sz="0" w:space="0" w:color="auto"/>
          </w:divBdr>
          <w:divsChild>
            <w:div w:id="546767187">
              <w:marLeft w:val="0"/>
              <w:marRight w:val="0"/>
              <w:marTop w:val="0"/>
              <w:marBottom w:val="0"/>
              <w:divBdr>
                <w:top w:val="none" w:sz="0" w:space="0" w:color="auto"/>
                <w:left w:val="none" w:sz="0" w:space="0" w:color="auto"/>
                <w:bottom w:val="none" w:sz="0" w:space="0" w:color="auto"/>
                <w:right w:val="none" w:sz="0" w:space="0" w:color="auto"/>
              </w:divBdr>
            </w:div>
            <w:div w:id="14589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CodeArticle.do?cidTexte=LEGITEXT000006071318&amp;idArticle=LEGIARTI000006547564&amp;dateTexte=29990101&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6676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gouv.fr/bo/22/Hebdo17/MENG2210760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06901793&amp;dateTexte=&amp;categorieLien=cid" TargetMode="External"/><Relationship Id="rId5" Type="http://schemas.openxmlformats.org/officeDocument/2006/relationships/webSettings" Target="webSettings.xml"/><Relationship Id="rId15" Type="http://schemas.openxmlformats.org/officeDocument/2006/relationships/hyperlink" Target="https://circulaire.legifrance.gouv.fr/circulaire/id/45327?origin=list&amp;page=1&amp;pageSize=10&amp;sortValue=PUBLI_DATE_DESC&amp;tab_selection=all" TargetMode="External"/><Relationship Id="rId10" Type="http://schemas.openxmlformats.org/officeDocument/2006/relationships/hyperlink" Target="https://www.legifrance.gouv.fr/jorf/id/JORFTEXT0000456024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education.gouv.fr/bo/22/Hebdo17/MENE2212381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EC16-5B63-481D-8FFC-AF90D580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148</cp:revision>
  <dcterms:created xsi:type="dcterms:W3CDTF">2021-03-23T13:03:00Z</dcterms:created>
  <dcterms:modified xsi:type="dcterms:W3CDTF">2022-05-02T08:08:00Z</dcterms:modified>
</cp:coreProperties>
</file>