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9C1C28">
        <w:rPr>
          <w:b/>
        </w:rPr>
        <w:t>2</w:t>
      </w:r>
      <w:r w:rsidR="003A05EC">
        <w:rPr>
          <w:b/>
        </w:rPr>
        <w:t xml:space="preserve"> du </w:t>
      </w:r>
      <w:r w:rsidR="009C1C28">
        <w:rPr>
          <w:b/>
        </w:rPr>
        <w:t>19</w:t>
      </w:r>
      <w:r w:rsidR="003A05EC">
        <w:rPr>
          <w:b/>
        </w:rPr>
        <w:t xml:space="preserve"> juillet</w:t>
      </w:r>
      <w:r w:rsidR="00F27A4E">
        <w:rPr>
          <w:b/>
        </w:rPr>
        <w:t xml:space="preserve"> 202</w:t>
      </w:r>
      <w:r w:rsidR="005A246C">
        <w:rPr>
          <w:b/>
        </w:rPr>
        <w:t>3</w:t>
      </w:r>
    </w:p>
    <w:p w:rsidR="009C1C28" w:rsidRDefault="00837A45" w:rsidP="003A05EC">
      <w:pPr>
        <w:spacing w:after="0" w:line="240" w:lineRule="auto"/>
        <w:jc w:val="center"/>
        <w:rPr>
          <w:rFonts w:cstheme="minorHAnsi"/>
          <w:b/>
        </w:rPr>
      </w:pPr>
      <w:r>
        <w:rPr>
          <w:rFonts w:cstheme="minorHAnsi"/>
          <w:b/>
        </w:rPr>
        <w:t xml:space="preserve">Justice </w:t>
      </w:r>
      <w:bookmarkStart w:id="0" w:name="_GoBack"/>
      <w:bookmarkEnd w:id="0"/>
      <w:r w:rsidR="009D5474" w:rsidRPr="009D5474">
        <w:rPr>
          <w:rFonts w:cstheme="minorHAnsi"/>
          <w:b/>
        </w:rPr>
        <w:t>et dispositif national Jeunes et fêtes</w:t>
      </w:r>
    </w:p>
    <w:p w:rsidR="009C1C28" w:rsidRDefault="009C1C28" w:rsidP="003A05EC">
      <w:pPr>
        <w:spacing w:after="0" w:line="240" w:lineRule="auto"/>
        <w:jc w:val="center"/>
        <w:rPr>
          <w:rFonts w:cstheme="minorHAnsi"/>
          <w:b/>
        </w:rPr>
      </w:pPr>
    </w:p>
    <w:p w:rsidR="00DD26AF" w:rsidRPr="009D5474" w:rsidRDefault="00DD26AF" w:rsidP="003A05EC">
      <w:pPr>
        <w:spacing w:after="0" w:line="240" w:lineRule="auto"/>
        <w:jc w:val="center"/>
        <w:rPr>
          <w:rFonts w:cstheme="minorHAnsi"/>
        </w:rPr>
      </w:pPr>
    </w:p>
    <w:p w:rsidR="009D5474" w:rsidRDefault="00AC2108" w:rsidP="009D5474">
      <w:pPr>
        <w:pStyle w:val="Titre1"/>
        <w:spacing w:after="120"/>
        <w:rPr>
          <w:rFonts w:asciiTheme="minorHAnsi" w:hAnsiTheme="minorHAnsi" w:cstheme="minorHAnsi"/>
          <w:color w:val="auto"/>
          <w:sz w:val="22"/>
          <w:szCs w:val="22"/>
        </w:rPr>
      </w:pPr>
      <w:hyperlink r:id="rId10" w:history="1">
        <w:r w:rsidR="009D5474" w:rsidRPr="009D5474">
          <w:rPr>
            <w:rStyle w:val="Lienhypertexte"/>
            <w:rFonts w:asciiTheme="minorHAnsi" w:hAnsiTheme="minorHAnsi" w:cstheme="minorHAnsi"/>
            <w:bCs/>
            <w:sz w:val="22"/>
            <w:szCs w:val="22"/>
          </w:rPr>
          <w:t>Circulaire du 30/06/2023</w:t>
        </w:r>
      </w:hyperlink>
      <w:r w:rsidR="009D5474" w:rsidRPr="009D5474">
        <w:rPr>
          <w:rFonts w:asciiTheme="minorHAnsi" w:hAnsiTheme="minorHAnsi" w:cstheme="minorHAnsi"/>
          <w:bCs/>
          <w:color w:val="auto"/>
          <w:sz w:val="22"/>
          <w:szCs w:val="22"/>
        </w:rPr>
        <w:t xml:space="preserve"> relative au traitement judiciaire des violences urbaines</w:t>
      </w:r>
      <w:r w:rsidR="009D5474">
        <w:rPr>
          <w:rFonts w:asciiTheme="minorHAnsi" w:hAnsiTheme="minorHAnsi" w:cstheme="minorHAnsi"/>
          <w:bCs/>
          <w:color w:val="auto"/>
          <w:sz w:val="22"/>
          <w:szCs w:val="22"/>
        </w:rPr>
        <w:br/>
      </w:r>
      <w:r w:rsidR="009D5474" w:rsidRPr="009D5474">
        <w:rPr>
          <w:rFonts w:asciiTheme="minorHAnsi" w:hAnsiTheme="minorHAnsi" w:cstheme="minorHAnsi"/>
          <w:bCs/>
          <w:color w:val="auto"/>
          <w:sz w:val="22"/>
          <w:szCs w:val="22"/>
        </w:rPr>
        <w:br/>
      </w:r>
      <w:r w:rsidR="009D5474" w:rsidRPr="009D5474">
        <w:rPr>
          <w:rFonts w:asciiTheme="minorHAnsi" w:hAnsiTheme="minorHAnsi" w:cstheme="minorHAnsi"/>
          <w:color w:val="auto"/>
          <w:sz w:val="22"/>
          <w:szCs w:val="22"/>
        </w:rPr>
        <w:t>Circulaire Légifrance, mise en ligne le 5 juillet 2023</w:t>
      </w:r>
      <w:r w:rsidR="009D5474">
        <w:rPr>
          <w:rFonts w:asciiTheme="minorHAnsi" w:hAnsiTheme="minorHAnsi" w:cstheme="minorHAnsi"/>
          <w:color w:val="auto"/>
          <w:sz w:val="22"/>
          <w:szCs w:val="22"/>
        </w:rPr>
        <w:br/>
      </w:r>
      <w:r w:rsidR="009D5474">
        <w:rPr>
          <w:rFonts w:asciiTheme="minorHAnsi" w:hAnsiTheme="minorHAnsi" w:cstheme="minorHAnsi"/>
          <w:color w:val="auto"/>
          <w:sz w:val="22"/>
          <w:szCs w:val="22"/>
        </w:rPr>
        <w:br/>
      </w:r>
      <w:r w:rsidR="009D5474" w:rsidRPr="009D5474">
        <w:rPr>
          <w:rFonts w:asciiTheme="minorHAnsi" w:hAnsiTheme="minorHAnsi" w:cstheme="minorHAnsi"/>
          <w:color w:val="auto"/>
          <w:sz w:val="22"/>
          <w:szCs w:val="22"/>
        </w:rPr>
        <w:t>Le décès brutal d’un mineur de 17 ans le 27 juin 2023 à Nanterre a suscité une forte émotion.</w:t>
      </w:r>
      <w:r w:rsidR="009D5474">
        <w:rPr>
          <w:rFonts w:asciiTheme="minorHAnsi" w:hAnsiTheme="minorHAnsi" w:cstheme="minorHAnsi"/>
          <w:color w:val="auto"/>
          <w:sz w:val="22"/>
          <w:szCs w:val="22"/>
        </w:rPr>
        <w:t xml:space="preserve"> </w:t>
      </w:r>
      <w:r w:rsidR="009D5474" w:rsidRPr="009D5474">
        <w:rPr>
          <w:rFonts w:asciiTheme="minorHAnsi" w:hAnsiTheme="minorHAnsi" w:cstheme="minorHAnsi"/>
          <w:color w:val="auto"/>
          <w:sz w:val="22"/>
          <w:szCs w:val="22"/>
        </w:rPr>
        <w:t>Si légitime que soit celle-ci, elle ne saurait en aucun cas justifier la commission d’actions violentes au préjudice des personnes, le saccage d’immeubles essentiels au fonctionnement des services publics, la destruction de moyens de transport public ou encore le pillage de magasins.</w:t>
      </w:r>
    </w:p>
    <w:p w:rsidR="009D5474" w:rsidRDefault="003570E1" w:rsidP="00D75225">
      <w:pPr>
        <w:pStyle w:val="Titre1"/>
        <w:shd w:val="clear" w:color="auto" w:fill="FFFFFF"/>
        <w:spacing w:before="0" w:after="75"/>
        <w:rPr>
          <w:rFonts w:asciiTheme="minorHAnsi" w:hAnsiTheme="minorHAnsi" w:cstheme="minorHAnsi"/>
          <w:color w:val="auto"/>
          <w:sz w:val="22"/>
          <w:szCs w:val="22"/>
        </w:rPr>
      </w:pPr>
      <w:r>
        <w:rPr>
          <w:rFonts w:asciiTheme="minorHAnsi" w:hAnsiTheme="minorHAnsi" w:cstheme="minorHAnsi"/>
          <w:color w:val="auto"/>
          <w:sz w:val="22"/>
          <w:szCs w:val="22"/>
        </w:rPr>
        <w:br/>
      </w:r>
      <w:hyperlink r:id="rId11" w:history="1">
        <w:r w:rsidR="00D75225" w:rsidRPr="00D75225">
          <w:rPr>
            <w:rStyle w:val="Lienhypertexte"/>
            <w:rFonts w:asciiTheme="minorHAnsi" w:hAnsiTheme="minorHAnsi" w:cstheme="minorHAnsi"/>
            <w:bCs/>
            <w:sz w:val="22"/>
            <w:szCs w:val="22"/>
          </w:rPr>
          <w:t>Décret n° 2023-579 du 7 juillet 2023</w:t>
        </w:r>
      </w:hyperlink>
      <w:r w:rsidR="00D75225" w:rsidRPr="00D75225">
        <w:rPr>
          <w:rFonts w:asciiTheme="minorHAnsi" w:hAnsiTheme="minorHAnsi" w:cstheme="minorHAnsi"/>
          <w:bCs/>
          <w:color w:val="auto"/>
          <w:sz w:val="22"/>
          <w:szCs w:val="22"/>
        </w:rPr>
        <w:t xml:space="preserve"> relatif aux groupes locaux de traitement de la délinquance</w:t>
      </w:r>
      <w:r w:rsidR="00D75225">
        <w:rPr>
          <w:rFonts w:asciiTheme="minorHAnsi" w:hAnsiTheme="minorHAnsi" w:cstheme="minorHAnsi"/>
          <w:bCs/>
          <w:color w:val="auto"/>
          <w:sz w:val="22"/>
          <w:szCs w:val="22"/>
        </w:rPr>
        <w:br/>
      </w:r>
      <w:r w:rsidR="00D75225">
        <w:rPr>
          <w:rFonts w:asciiTheme="minorHAnsi" w:hAnsiTheme="minorHAnsi" w:cstheme="minorHAnsi"/>
          <w:color w:val="auto"/>
          <w:sz w:val="22"/>
          <w:szCs w:val="22"/>
        </w:rPr>
        <w:br/>
        <w:t>Journal officiel du 9 juillet 2023</w:t>
      </w:r>
    </w:p>
    <w:p w:rsidR="009D5474" w:rsidRPr="003570E1" w:rsidRDefault="00D75225" w:rsidP="009D5474">
      <w:pPr>
        <w:pStyle w:val="Titre1"/>
        <w:spacing w:before="0" w:after="120"/>
        <w:rPr>
          <w:rFonts w:asciiTheme="minorHAnsi" w:hAnsiTheme="minorHAnsi" w:cstheme="minorHAnsi"/>
          <w:color w:val="000000"/>
          <w:sz w:val="22"/>
          <w:szCs w:val="22"/>
          <w:shd w:val="clear" w:color="auto" w:fill="FFFFFF"/>
        </w:rPr>
      </w:pPr>
      <w:r>
        <w:rPr>
          <w:rFonts w:asciiTheme="minorHAnsi" w:hAnsiTheme="minorHAnsi" w:cstheme="minorHAnsi"/>
          <w:color w:val="auto"/>
          <w:sz w:val="22"/>
          <w:szCs w:val="22"/>
        </w:rPr>
        <w:br/>
      </w:r>
      <w:r w:rsidR="003570E1">
        <w:rPr>
          <w:rFonts w:asciiTheme="minorHAnsi" w:hAnsiTheme="minorHAnsi" w:cstheme="minorHAnsi"/>
          <w:color w:val="000000"/>
          <w:sz w:val="22"/>
          <w:szCs w:val="22"/>
          <w:shd w:val="clear" w:color="auto" w:fill="FFFFFF"/>
        </w:rPr>
        <w:t>L</w:t>
      </w:r>
      <w:r w:rsidR="003570E1" w:rsidRPr="003570E1">
        <w:rPr>
          <w:rFonts w:asciiTheme="minorHAnsi" w:hAnsiTheme="minorHAnsi" w:cstheme="minorHAnsi"/>
          <w:color w:val="000000"/>
          <w:sz w:val="22"/>
          <w:szCs w:val="22"/>
          <w:shd w:val="clear" w:color="auto" w:fill="FFFFFF"/>
        </w:rPr>
        <w:t>e décret précise les missions et la composition des groupes locaux de traitement de la délinquance, conformément à l'</w:t>
      </w:r>
      <w:hyperlink r:id="rId12" w:tooltip="Code de la sécurité intérieure - art. L132-10-2 (V)" w:history="1">
        <w:r w:rsidR="003570E1" w:rsidRPr="003570E1">
          <w:rPr>
            <w:rStyle w:val="Lienhypertexte"/>
            <w:rFonts w:asciiTheme="minorHAnsi" w:hAnsiTheme="minorHAnsi" w:cstheme="minorHAnsi"/>
            <w:color w:val="4A5E81"/>
            <w:sz w:val="22"/>
            <w:szCs w:val="22"/>
            <w:shd w:val="clear" w:color="auto" w:fill="FFFFFF"/>
          </w:rPr>
          <w:t>article L. 132-10-2 du code de la sécurité intérieure</w:t>
        </w:r>
      </w:hyperlink>
      <w:r w:rsidR="003570E1" w:rsidRPr="003570E1">
        <w:rPr>
          <w:rFonts w:asciiTheme="minorHAnsi" w:hAnsiTheme="minorHAnsi" w:cstheme="minorHAnsi"/>
          <w:color w:val="000000"/>
          <w:sz w:val="22"/>
          <w:szCs w:val="22"/>
          <w:shd w:val="clear" w:color="auto" w:fill="FFFFFF"/>
        </w:rPr>
        <w:t>.</w:t>
      </w:r>
    </w:p>
    <w:p w:rsidR="00092C67" w:rsidRPr="00092C67" w:rsidRDefault="00092C67" w:rsidP="00092C67">
      <w:pPr>
        <w:pStyle w:val="Titre1"/>
        <w:shd w:val="clear" w:color="auto" w:fill="FFFFFF"/>
        <w:spacing w:before="0" w:after="75"/>
        <w:rPr>
          <w:rFonts w:asciiTheme="minorHAnsi" w:hAnsiTheme="minorHAnsi" w:cstheme="minorHAnsi"/>
          <w:color w:val="4A5E81"/>
          <w:sz w:val="22"/>
          <w:szCs w:val="22"/>
        </w:rPr>
      </w:pPr>
      <w:r>
        <w:br/>
      </w:r>
      <w:hyperlink r:id="rId13" w:history="1">
        <w:r w:rsidRPr="00092C67">
          <w:rPr>
            <w:rStyle w:val="Lienhypertexte"/>
            <w:rFonts w:asciiTheme="minorHAnsi" w:hAnsiTheme="minorHAnsi" w:cstheme="minorHAnsi"/>
            <w:bCs/>
            <w:sz w:val="22"/>
            <w:szCs w:val="22"/>
          </w:rPr>
          <w:t>Arrêté du 28 juin 2023</w:t>
        </w:r>
      </w:hyperlink>
      <w:r w:rsidRPr="00092C67">
        <w:rPr>
          <w:rFonts w:asciiTheme="minorHAnsi" w:hAnsiTheme="minorHAnsi" w:cstheme="minorHAnsi"/>
          <w:bCs/>
          <w:color w:val="auto"/>
          <w:sz w:val="22"/>
          <w:szCs w:val="22"/>
        </w:rPr>
        <w:t xml:space="preserve"> portant création d'un traitement de données à caractère personnel dénommé « Enquête nationale de prévalence sur la santé des jeunes suivis par la protection judiciaire de la jeunesse »</w:t>
      </w:r>
    </w:p>
    <w:p w:rsidR="00092C67" w:rsidRPr="00092C67" w:rsidRDefault="00092C67" w:rsidP="009D5474">
      <w:pPr>
        <w:pStyle w:val="NormalWeb"/>
        <w:rPr>
          <w:rFonts w:asciiTheme="minorHAnsi" w:hAnsiTheme="minorHAnsi" w:cstheme="minorHAnsi"/>
          <w:sz w:val="22"/>
          <w:szCs w:val="22"/>
        </w:rPr>
      </w:pPr>
      <w:r>
        <w:br/>
      </w:r>
      <w:r w:rsidRPr="00092C67">
        <w:rPr>
          <w:rFonts w:asciiTheme="minorHAnsi" w:hAnsiTheme="minorHAnsi" w:cstheme="minorHAnsi"/>
          <w:sz w:val="22"/>
          <w:szCs w:val="22"/>
        </w:rPr>
        <w:t>Journal officiel du 12 juillet 2023</w:t>
      </w:r>
      <w:r>
        <w:rPr>
          <w:rFonts w:asciiTheme="minorHAnsi" w:hAnsiTheme="minorHAnsi" w:cstheme="minorHAnsi"/>
          <w:sz w:val="22"/>
          <w:szCs w:val="22"/>
        </w:rPr>
        <w:br/>
      </w:r>
      <w:r>
        <w:rPr>
          <w:rFonts w:asciiTheme="minorHAnsi" w:hAnsiTheme="minorHAnsi" w:cstheme="minorHAnsi"/>
          <w:sz w:val="22"/>
          <w:szCs w:val="22"/>
        </w:rPr>
        <w:br/>
      </w:r>
      <w:r w:rsidRPr="00092C67">
        <w:rPr>
          <w:rFonts w:asciiTheme="minorHAnsi" w:hAnsiTheme="minorHAnsi" w:cstheme="minorHAnsi"/>
          <w:color w:val="000000"/>
          <w:sz w:val="22"/>
          <w:szCs w:val="22"/>
          <w:shd w:val="clear" w:color="auto" w:fill="FFFFFF"/>
        </w:rPr>
        <w:t>Il est créé par le ministère de la justice (direction de la protection judiciaire de la jeunesse) un traitement de données à caractère personnel dénommé « Enquête nationale de prévalence sur la santé des jeunes suivis par la protection judiciaire de la jeunesse ».</w:t>
      </w:r>
      <w:r w:rsidRPr="00092C67">
        <w:rPr>
          <w:rFonts w:asciiTheme="minorHAnsi" w:hAnsiTheme="minorHAnsi" w:cstheme="minorHAnsi"/>
          <w:color w:val="000000"/>
          <w:sz w:val="22"/>
          <w:szCs w:val="22"/>
        </w:rPr>
        <w:br/>
      </w:r>
      <w:r w:rsidRPr="00092C67">
        <w:rPr>
          <w:rFonts w:asciiTheme="minorHAnsi" w:hAnsiTheme="minorHAnsi" w:cstheme="minorHAnsi"/>
          <w:color w:val="000000"/>
          <w:sz w:val="22"/>
          <w:szCs w:val="22"/>
          <w:shd w:val="clear" w:color="auto" w:fill="FFFFFF"/>
        </w:rPr>
        <w:t>Ce traitement a pour finalité la réalisation d'une recherche scientifique visant à orienter les actions autour de la prise en charge de la santé des mineurs suivis par la protection judiciaire de la jeunesse.</w:t>
      </w:r>
    </w:p>
    <w:p w:rsidR="00092C67" w:rsidRDefault="00092C67">
      <w:pPr>
        <w:spacing w:after="160" w:line="259" w:lineRule="auto"/>
        <w:rPr>
          <w:rFonts w:ascii="Times New Roman" w:eastAsia="Times New Roman" w:hAnsi="Times New Roman" w:cs="Times New Roman"/>
          <w:sz w:val="24"/>
          <w:szCs w:val="24"/>
          <w:lang w:eastAsia="fr-FR"/>
        </w:rPr>
      </w:pPr>
      <w:r>
        <w:br w:type="page"/>
      </w:r>
    </w:p>
    <w:p w:rsidR="009D5474" w:rsidRPr="009D5474" w:rsidRDefault="00233B09" w:rsidP="009D5474">
      <w:pPr>
        <w:pStyle w:val="NormalWeb"/>
        <w:rPr>
          <w:rFonts w:asciiTheme="minorHAnsi" w:hAnsiTheme="minorHAnsi" w:cstheme="minorHAnsi"/>
          <w:color w:val="000000"/>
          <w:sz w:val="22"/>
          <w:szCs w:val="22"/>
        </w:rPr>
      </w:pPr>
      <w:hyperlink r:id="rId14" w:history="1">
        <w:r w:rsidR="009D5474" w:rsidRPr="009D5474">
          <w:rPr>
            <w:rStyle w:val="Lienhypertexte"/>
            <w:rFonts w:asciiTheme="minorHAnsi" w:hAnsiTheme="minorHAnsi" w:cstheme="minorHAnsi"/>
            <w:bCs/>
            <w:sz w:val="22"/>
            <w:szCs w:val="22"/>
          </w:rPr>
          <w:t>Instruction du 12/05/2023</w:t>
        </w:r>
      </w:hyperlink>
      <w:r w:rsidR="009D5474" w:rsidRPr="009D5474">
        <w:rPr>
          <w:rFonts w:asciiTheme="minorHAnsi" w:hAnsiTheme="minorHAnsi" w:cstheme="minorHAnsi"/>
          <w:bCs/>
          <w:sz w:val="22"/>
          <w:szCs w:val="22"/>
        </w:rPr>
        <w:t xml:space="preserve"> relative au dispositif national Jeunes et fêtes</w:t>
      </w:r>
      <w:r w:rsidR="009D5474" w:rsidRPr="009D5474">
        <w:rPr>
          <w:rFonts w:asciiTheme="minorHAnsi" w:hAnsiTheme="minorHAnsi" w:cstheme="minorHAnsi"/>
          <w:sz w:val="22"/>
          <w:szCs w:val="22"/>
        </w:rPr>
        <w:t xml:space="preserve"> : Dialogue à mettre en œuvre dans le cas de rassemblements festifs organisés par des jeunes </w:t>
      </w:r>
      <w:r w:rsidR="009D5474">
        <w:rPr>
          <w:rFonts w:asciiTheme="minorHAnsi" w:hAnsiTheme="minorHAnsi" w:cstheme="minorHAnsi"/>
          <w:sz w:val="22"/>
          <w:szCs w:val="22"/>
        </w:rPr>
        <w:br/>
      </w:r>
      <w:r w:rsidR="009D5474">
        <w:rPr>
          <w:rFonts w:asciiTheme="minorHAnsi" w:hAnsiTheme="minorHAnsi" w:cstheme="minorHAnsi"/>
          <w:sz w:val="22"/>
          <w:szCs w:val="22"/>
        </w:rPr>
        <w:br/>
        <w:t>BOENJS n° 27 du 6 juillet 2023</w:t>
      </w:r>
      <w:r w:rsidR="009D5474">
        <w:rPr>
          <w:rFonts w:asciiTheme="minorHAnsi" w:hAnsiTheme="minorHAnsi" w:cstheme="minorHAnsi"/>
          <w:sz w:val="22"/>
          <w:szCs w:val="22"/>
        </w:rPr>
        <w:br/>
      </w:r>
      <w:r w:rsidR="009D5474">
        <w:rPr>
          <w:rFonts w:asciiTheme="minorHAnsi" w:hAnsiTheme="minorHAnsi" w:cstheme="minorHAnsi"/>
          <w:sz w:val="22"/>
          <w:szCs w:val="22"/>
        </w:rPr>
        <w:br/>
      </w:r>
      <w:r w:rsidR="009D5474" w:rsidRPr="009D5474">
        <w:rPr>
          <w:rFonts w:asciiTheme="minorHAnsi" w:hAnsiTheme="minorHAnsi" w:cstheme="minorHAnsi"/>
          <w:color w:val="000000"/>
          <w:sz w:val="22"/>
          <w:szCs w:val="22"/>
        </w:rPr>
        <w:t>Les rassemblements festifs organisés par les jeunes représentent une partie importante de leur vie sociale. Ils permettent de surcroît à des jeunes de s’engager dans des projets participant à la vie culturelle et citoyenne des territoires. L’enjeu est de permettre ces rassemblements tout en assurant la sécurité des personnes, notamment par la mise en place d’actions de prévention et de réduction des risques.</w:t>
      </w:r>
    </w:p>
    <w:p w:rsidR="009D5474" w:rsidRPr="009D5474" w:rsidRDefault="009D5474" w:rsidP="009D5474">
      <w:pPr>
        <w:spacing w:after="100" w:afterAutospacing="1" w:line="240" w:lineRule="auto"/>
        <w:rPr>
          <w:rFonts w:eastAsia="Times New Roman" w:cstheme="minorHAnsi"/>
          <w:color w:val="000000"/>
          <w:lang w:eastAsia="fr-FR"/>
        </w:rPr>
      </w:pPr>
      <w:r w:rsidRPr="009D5474">
        <w:rPr>
          <w:rFonts w:eastAsia="Times New Roman" w:cstheme="minorHAnsi"/>
          <w:color w:val="000000"/>
          <w:lang w:eastAsia="fr-FR"/>
        </w:rPr>
        <w:t>Le bon déroulement de ces événements est fortement lié à la qualité du dialogue mené en amont entre les services de l’État et les différents acteurs locaux impliqués, notamment pour accompagner les jeunes organisateurs dans le processus de déclaration de leur fête.</w:t>
      </w:r>
    </w:p>
    <w:p w:rsidR="009D5474" w:rsidRPr="009D5474" w:rsidRDefault="009D5474" w:rsidP="009D5474">
      <w:pPr>
        <w:pStyle w:val="Titre3"/>
        <w:spacing w:before="315" w:after="315"/>
        <w:rPr>
          <w:rFonts w:asciiTheme="minorHAnsi" w:hAnsiTheme="minorHAnsi" w:cstheme="minorHAnsi"/>
          <w:color w:val="auto"/>
          <w:sz w:val="22"/>
          <w:szCs w:val="22"/>
        </w:rPr>
      </w:pPr>
    </w:p>
    <w:p w:rsidR="009D5474" w:rsidRDefault="009D5474" w:rsidP="009D5474">
      <w:pPr>
        <w:pStyle w:val="Titre1"/>
        <w:spacing w:before="0" w:after="120"/>
        <w:rPr>
          <w:rFonts w:cstheme="minorHAnsi"/>
          <w:b/>
        </w:rPr>
      </w:pPr>
      <w:r>
        <w:rPr>
          <w:rFonts w:asciiTheme="minorHAnsi" w:hAnsiTheme="minorHAnsi" w:cstheme="minorHAnsi"/>
          <w:color w:val="auto"/>
          <w:sz w:val="22"/>
          <w:szCs w:val="22"/>
        </w:rPr>
        <w:br/>
      </w:r>
    </w:p>
    <w:sectPr w:rsidR="009D547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108" w:rsidRDefault="00AC2108" w:rsidP="00943B28">
      <w:pPr>
        <w:spacing w:after="0" w:line="240" w:lineRule="auto"/>
      </w:pPr>
      <w:r>
        <w:separator/>
      </w:r>
    </w:p>
  </w:endnote>
  <w:endnote w:type="continuationSeparator" w:id="0">
    <w:p w:rsidR="00AC2108" w:rsidRDefault="00AC2108"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837A45">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108" w:rsidRDefault="00AC2108" w:rsidP="00943B28">
      <w:pPr>
        <w:spacing w:after="0" w:line="240" w:lineRule="auto"/>
      </w:pPr>
      <w:r>
        <w:separator/>
      </w:r>
    </w:p>
  </w:footnote>
  <w:footnote w:type="continuationSeparator" w:id="0">
    <w:p w:rsidR="00AC2108" w:rsidRDefault="00AC2108"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22"/>
  </w:num>
  <w:num w:numId="4">
    <w:abstractNumId w:val="10"/>
  </w:num>
  <w:num w:numId="5">
    <w:abstractNumId w:val="0"/>
  </w:num>
  <w:num w:numId="6">
    <w:abstractNumId w:val="8"/>
  </w:num>
  <w:num w:numId="7">
    <w:abstractNumId w:val="3"/>
  </w:num>
  <w:num w:numId="8">
    <w:abstractNumId w:val="12"/>
  </w:num>
  <w:num w:numId="9">
    <w:abstractNumId w:val="16"/>
  </w:num>
  <w:num w:numId="10">
    <w:abstractNumId w:val="15"/>
  </w:num>
  <w:num w:numId="11">
    <w:abstractNumId w:val="5"/>
  </w:num>
  <w:num w:numId="12">
    <w:abstractNumId w:val="7"/>
  </w:num>
  <w:num w:numId="13">
    <w:abstractNumId w:val="6"/>
  </w:num>
  <w:num w:numId="14">
    <w:abstractNumId w:val="9"/>
  </w:num>
  <w:num w:numId="15">
    <w:abstractNumId w:val="2"/>
  </w:num>
  <w:num w:numId="16">
    <w:abstractNumId w:val="14"/>
  </w:num>
  <w:num w:numId="17">
    <w:abstractNumId w:val="19"/>
  </w:num>
  <w:num w:numId="18">
    <w:abstractNumId w:val="1"/>
  </w:num>
  <w:num w:numId="19">
    <w:abstractNumId w:val="11"/>
  </w:num>
  <w:num w:numId="20">
    <w:abstractNumId w:val="21"/>
  </w:num>
  <w:num w:numId="21">
    <w:abstractNumId w:val="13"/>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52B88"/>
    <w:rsid w:val="000550BB"/>
    <w:rsid w:val="00061880"/>
    <w:rsid w:val="00062B48"/>
    <w:rsid w:val="00063E56"/>
    <w:rsid w:val="0006546C"/>
    <w:rsid w:val="00080F86"/>
    <w:rsid w:val="00090E43"/>
    <w:rsid w:val="00092C67"/>
    <w:rsid w:val="0009519B"/>
    <w:rsid w:val="00096BAE"/>
    <w:rsid w:val="000A0F30"/>
    <w:rsid w:val="000A3DA9"/>
    <w:rsid w:val="000A4FD1"/>
    <w:rsid w:val="000A7B61"/>
    <w:rsid w:val="000C4C9E"/>
    <w:rsid w:val="000D0CAE"/>
    <w:rsid w:val="000D111E"/>
    <w:rsid w:val="000E05E8"/>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F47"/>
    <w:rsid w:val="00225549"/>
    <w:rsid w:val="00233B0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570E1"/>
    <w:rsid w:val="00373AF6"/>
    <w:rsid w:val="00376092"/>
    <w:rsid w:val="003805B2"/>
    <w:rsid w:val="00381724"/>
    <w:rsid w:val="00386267"/>
    <w:rsid w:val="00391D5E"/>
    <w:rsid w:val="003A05EC"/>
    <w:rsid w:val="003B5B63"/>
    <w:rsid w:val="003C12BD"/>
    <w:rsid w:val="003F3CE4"/>
    <w:rsid w:val="004115A4"/>
    <w:rsid w:val="00426574"/>
    <w:rsid w:val="00430648"/>
    <w:rsid w:val="004440D3"/>
    <w:rsid w:val="00445921"/>
    <w:rsid w:val="00447CCA"/>
    <w:rsid w:val="00460340"/>
    <w:rsid w:val="00461FF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F3C35"/>
    <w:rsid w:val="00600BFE"/>
    <w:rsid w:val="006047B7"/>
    <w:rsid w:val="00607326"/>
    <w:rsid w:val="006219BB"/>
    <w:rsid w:val="00630368"/>
    <w:rsid w:val="00631D1F"/>
    <w:rsid w:val="00634C9B"/>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37A45"/>
    <w:rsid w:val="00851382"/>
    <w:rsid w:val="00852B36"/>
    <w:rsid w:val="00854F82"/>
    <w:rsid w:val="008627F4"/>
    <w:rsid w:val="00862808"/>
    <w:rsid w:val="00874F3E"/>
    <w:rsid w:val="008835D7"/>
    <w:rsid w:val="00885A88"/>
    <w:rsid w:val="00890A43"/>
    <w:rsid w:val="00890FD1"/>
    <w:rsid w:val="00895031"/>
    <w:rsid w:val="008B2D05"/>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7C84"/>
    <w:rsid w:val="009D41B7"/>
    <w:rsid w:val="009D45A0"/>
    <w:rsid w:val="009D481B"/>
    <w:rsid w:val="009D5474"/>
    <w:rsid w:val="009E6DB7"/>
    <w:rsid w:val="009F0AD0"/>
    <w:rsid w:val="00A0075B"/>
    <w:rsid w:val="00A07A83"/>
    <w:rsid w:val="00A304F7"/>
    <w:rsid w:val="00A63ABC"/>
    <w:rsid w:val="00A64284"/>
    <w:rsid w:val="00A91312"/>
    <w:rsid w:val="00AA04CE"/>
    <w:rsid w:val="00AB1661"/>
    <w:rsid w:val="00AB521C"/>
    <w:rsid w:val="00AB6042"/>
    <w:rsid w:val="00AC2108"/>
    <w:rsid w:val="00AC5BCC"/>
    <w:rsid w:val="00AD3799"/>
    <w:rsid w:val="00B03E0E"/>
    <w:rsid w:val="00B042D6"/>
    <w:rsid w:val="00B116F4"/>
    <w:rsid w:val="00B1217E"/>
    <w:rsid w:val="00B12E78"/>
    <w:rsid w:val="00B17E62"/>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0B73"/>
    <w:rsid w:val="00C27709"/>
    <w:rsid w:val="00C46DD3"/>
    <w:rsid w:val="00C55DC0"/>
    <w:rsid w:val="00C74FA2"/>
    <w:rsid w:val="00C76C36"/>
    <w:rsid w:val="00CA6DB0"/>
    <w:rsid w:val="00CB1A6D"/>
    <w:rsid w:val="00CC1DE9"/>
    <w:rsid w:val="00CC36AF"/>
    <w:rsid w:val="00CD1D11"/>
    <w:rsid w:val="00CE67D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75225"/>
    <w:rsid w:val="00D81B58"/>
    <w:rsid w:val="00D95EA0"/>
    <w:rsid w:val="00D97151"/>
    <w:rsid w:val="00DB2DAA"/>
    <w:rsid w:val="00DC3C06"/>
    <w:rsid w:val="00DC5E17"/>
    <w:rsid w:val="00DD26AF"/>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475F"/>
    <w:rsid w:val="00EF08E3"/>
    <w:rsid w:val="00EF3B61"/>
    <w:rsid w:val="00EF6DFB"/>
    <w:rsid w:val="00F10019"/>
    <w:rsid w:val="00F12F6D"/>
    <w:rsid w:val="00F15410"/>
    <w:rsid w:val="00F17EDA"/>
    <w:rsid w:val="00F27A4E"/>
    <w:rsid w:val="00F36F26"/>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C5A0"/>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2171873">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51351386">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74232288">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98936025">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29930329">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78120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25503132&amp;idArticle=LEGIARTI000043533572&amp;dateTexte=29990101&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78007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circulaire/id/45455?origin=list&amp;amp;page=1&amp;amp;pageSize=10&amp;amp;sortValue=PUBLI_DATE_DESC&amp;amp;tab_selection=a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gouv.fr/bo/2023/Hebdo27/MENV2311763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15D9-E9D5-4A47-AC85-22A90DD2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Pages>
  <Words>484</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223</cp:revision>
  <dcterms:created xsi:type="dcterms:W3CDTF">2021-03-23T13:03:00Z</dcterms:created>
  <dcterms:modified xsi:type="dcterms:W3CDTF">2023-07-12T07:22:00Z</dcterms:modified>
</cp:coreProperties>
</file>