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951" w:rsidRDefault="007F5A53" w:rsidP="00BA5951">
      <w:pPr>
        <w:autoSpaceDE w:val="0"/>
        <w:autoSpaceDN w:val="0"/>
        <w:adjustRightInd w:val="0"/>
        <w:jc w:val="both"/>
        <w:rPr>
          <w:rFonts w:cstheme="minorHAnsi"/>
        </w:rPr>
      </w:pPr>
      <w:r>
        <w:rPr>
          <w:noProof/>
          <w:lang w:eastAsia="fr-FR"/>
        </w:rPr>
        <w:drawing>
          <wp:inline distT="0" distB="0" distL="0" distR="0" wp14:anchorId="185C762A" wp14:editId="2E2DDDB6">
            <wp:extent cx="1828800" cy="11049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04900"/>
                    </a:xfrm>
                    <a:prstGeom prst="rect">
                      <a:avLst/>
                    </a:prstGeom>
                    <a:noFill/>
                    <a:ln>
                      <a:noFill/>
                    </a:ln>
                  </pic:spPr>
                </pic:pic>
              </a:graphicData>
            </a:graphic>
          </wp:inline>
        </w:drawing>
      </w:r>
      <w:r w:rsidR="003F3CE4">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7F5A53" w:rsidRDefault="007F5A53" w:rsidP="00BA5951">
      <w:pPr>
        <w:autoSpaceDE w:val="0"/>
        <w:autoSpaceDN w:val="0"/>
        <w:adjustRightInd w:val="0"/>
        <w:jc w:val="both"/>
        <w:rPr>
          <w:rFonts w:cstheme="minorHAnsi"/>
        </w:rPr>
      </w:pPr>
    </w:p>
    <w:p w:rsidR="00F27A4E" w:rsidRDefault="00BA5951" w:rsidP="00DF0284">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7F0E25">
        <w:rPr>
          <w:b/>
        </w:rPr>
        <w:t>1</w:t>
      </w:r>
      <w:r w:rsidR="005B2429">
        <w:rPr>
          <w:b/>
        </w:rPr>
        <w:t>3</w:t>
      </w:r>
      <w:r w:rsidR="003A05EC">
        <w:rPr>
          <w:b/>
        </w:rPr>
        <w:t xml:space="preserve"> du </w:t>
      </w:r>
      <w:r w:rsidR="005B2429">
        <w:rPr>
          <w:b/>
        </w:rPr>
        <w:t>23</w:t>
      </w:r>
      <w:r w:rsidR="003A05EC">
        <w:rPr>
          <w:b/>
        </w:rPr>
        <w:t xml:space="preserve"> </w:t>
      </w:r>
      <w:r w:rsidR="005B2429">
        <w:rPr>
          <w:b/>
        </w:rPr>
        <w:t>août</w:t>
      </w:r>
      <w:r w:rsidR="00F27A4E">
        <w:rPr>
          <w:b/>
        </w:rPr>
        <w:t xml:space="preserve"> 202</w:t>
      </w:r>
      <w:r w:rsidR="005A246C">
        <w:rPr>
          <w:b/>
        </w:rPr>
        <w:t>3</w:t>
      </w:r>
    </w:p>
    <w:p w:rsidR="00DD26AF" w:rsidRDefault="00751719" w:rsidP="003A05EC">
      <w:pPr>
        <w:spacing w:after="0" w:line="240" w:lineRule="auto"/>
        <w:jc w:val="center"/>
        <w:rPr>
          <w:rFonts w:cstheme="minorHAnsi"/>
          <w:b/>
        </w:rPr>
      </w:pPr>
      <w:r w:rsidRPr="00751719">
        <w:rPr>
          <w:rFonts w:cstheme="minorHAnsi"/>
          <w:b/>
        </w:rPr>
        <w:t>Education : Second degré (Parcours tous droits ouverts) et Enseignement supérieur</w:t>
      </w:r>
    </w:p>
    <w:p w:rsidR="00751719" w:rsidRDefault="00751719" w:rsidP="00751719">
      <w:pPr>
        <w:spacing w:after="0" w:line="240" w:lineRule="auto"/>
        <w:rPr>
          <w:rFonts w:cstheme="minorHAnsi"/>
          <w:b/>
        </w:rPr>
      </w:pPr>
    </w:p>
    <w:p w:rsidR="00BE7B34" w:rsidRDefault="00BE7B34" w:rsidP="00751719">
      <w:pPr>
        <w:spacing w:after="0" w:line="240" w:lineRule="auto"/>
        <w:rPr>
          <w:rFonts w:cstheme="minorHAnsi"/>
          <w:b/>
        </w:rPr>
      </w:pPr>
    </w:p>
    <w:p w:rsidR="00751719" w:rsidRPr="00751719" w:rsidRDefault="00751719" w:rsidP="00751719">
      <w:pPr>
        <w:pStyle w:val="NormalWeb"/>
        <w:rPr>
          <w:rFonts w:asciiTheme="minorHAnsi" w:hAnsiTheme="minorHAnsi" w:cstheme="minorHAnsi"/>
          <w:color w:val="000000"/>
          <w:sz w:val="22"/>
          <w:szCs w:val="22"/>
        </w:rPr>
      </w:pPr>
      <w:hyperlink r:id="rId10" w:history="1">
        <w:r w:rsidRPr="00751719">
          <w:rPr>
            <w:rStyle w:val="Lienhypertexte"/>
            <w:rFonts w:asciiTheme="minorHAnsi" w:hAnsiTheme="minorHAnsi" w:cstheme="minorHAnsi"/>
            <w:sz w:val="22"/>
            <w:szCs w:val="22"/>
          </w:rPr>
          <w:t>Circulaire du 18/07/2023</w:t>
        </w:r>
      </w:hyperlink>
      <w:r w:rsidRPr="00751719">
        <w:rPr>
          <w:rFonts w:asciiTheme="minorHAnsi" w:hAnsiTheme="minorHAnsi" w:cstheme="minorHAnsi"/>
          <w:sz w:val="22"/>
          <w:szCs w:val="22"/>
        </w:rPr>
        <w:t xml:space="preserve"> relative aux </w:t>
      </w:r>
      <w:r w:rsidRPr="00751719">
        <w:rPr>
          <w:rFonts w:asciiTheme="minorHAnsi" w:hAnsiTheme="minorHAnsi" w:cstheme="minorHAnsi"/>
          <w:bCs/>
          <w:sz w:val="22"/>
          <w:szCs w:val="22"/>
        </w:rPr>
        <w:t>Parcours Tous droits ouverts</w:t>
      </w:r>
      <w:r w:rsidRPr="00751719">
        <w:rPr>
          <w:rFonts w:asciiTheme="minorHAnsi" w:hAnsiTheme="minorHAnsi" w:cstheme="minorHAnsi"/>
          <w:bCs/>
          <w:sz w:val="22"/>
          <w:szCs w:val="22"/>
        </w:rPr>
        <w:t xml:space="preserve"> dans le second degré</w:t>
      </w:r>
      <w:r>
        <w:rPr>
          <w:rFonts w:asciiTheme="minorHAnsi" w:hAnsiTheme="minorHAnsi" w:cstheme="minorHAnsi"/>
          <w:bCs/>
          <w:sz w:val="22"/>
          <w:szCs w:val="22"/>
        </w:rPr>
        <w:br/>
      </w:r>
      <w:r>
        <w:rPr>
          <w:rFonts w:asciiTheme="minorHAnsi" w:hAnsiTheme="minorHAnsi" w:cstheme="minorHAnsi"/>
          <w:bCs/>
          <w:sz w:val="22"/>
          <w:szCs w:val="22"/>
        </w:rPr>
        <w:br/>
      </w:r>
      <w:r w:rsidRPr="00751719">
        <w:rPr>
          <w:rFonts w:asciiTheme="minorHAnsi" w:hAnsiTheme="minorHAnsi" w:cstheme="minorHAnsi"/>
          <w:color w:val="000000"/>
          <w:sz w:val="22"/>
          <w:szCs w:val="22"/>
        </w:rPr>
        <w:t>La continuité de l’action publique en matière de lutte contre le décrochage, les efforts déployés depuis de nombreuses années par les équipes éducatives et pédagogiques, ainsi que la mise en place par la loi du 26 juillet 2019 de l’obligation de formation pour les jeunes de 16 à 18 ans ont permis des avancées significatives dans la sécurisation des parcours des élèves.</w:t>
      </w:r>
    </w:p>
    <w:p w:rsidR="00751719" w:rsidRPr="00751719" w:rsidRDefault="00751719" w:rsidP="00751719">
      <w:pPr>
        <w:spacing w:after="100" w:afterAutospacing="1" w:line="240" w:lineRule="auto"/>
        <w:rPr>
          <w:rFonts w:eastAsia="Times New Roman" w:cstheme="minorHAnsi"/>
          <w:color w:val="000000"/>
          <w:lang w:eastAsia="fr-FR"/>
        </w:rPr>
      </w:pPr>
      <w:r w:rsidRPr="00751719">
        <w:rPr>
          <w:rFonts w:eastAsia="Times New Roman" w:cstheme="minorHAnsi"/>
          <w:color w:val="000000"/>
          <w:lang w:eastAsia="fr-FR"/>
        </w:rPr>
        <w:t>Le nombre de sortants précoces du système scolaire est en baisse significative. Il s’agit d’amplifier ces résultats. Pour aller plus loin, une nouvelle démarche de prévention coordonnée du décrochage scolaire, intitulée « Tous droits ouverts » (TDO), est mise en place à compter de la rentrée scolaire 2023 pour soutenir l’action des équipes éducatives et pédagogiques auprès des élèves les plus fragiles, en priorité ceux issus de lycée professionnel.</w:t>
      </w:r>
    </w:p>
    <w:p w:rsidR="00751719" w:rsidRPr="00751719" w:rsidRDefault="00751719" w:rsidP="00751719">
      <w:pPr>
        <w:spacing w:after="100" w:afterAutospacing="1" w:line="240" w:lineRule="auto"/>
        <w:rPr>
          <w:rFonts w:eastAsia="Times New Roman" w:cstheme="minorHAnsi"/>
          <w:color w:val="000000"/>
          <w:lang w:eastAsia="fr-FR"/>
        </w:rPr>
      </w:pPr>
      <w:r w:rsidRPr="00751719">
        <w:rPr>
          <w:rFonts w:eastAsia="Times New Roman" w:cstheme="minorHAnsi"/>
          <w:color w:val="000000"/>
          <w:lang w:eastAsia="fr-FR"/>
        </w:rPr>
        <w:t>La démarche Tous droits ouverts s’appuie sur la mobilisation de tous les acteurs locaux de l’accompagnement, de l’insertion, de la formation et de l’emploi des jeunes.</w:t>
      </w:r>
    </w:p>
    <w:p w:rsidR="00751719" w:rsidRDefault="00751719" w:rsidP="00751719">
      <w:pPr>
        <w:spacing w:after="0" w:line="240" w:lineRule="auto"/>
        <w:rPr>
          <w:rFonts w:cstheme="minorHAnsi"/>
          <w:b/>
        </w:rPr>
      </w:pPr>
    </w:p>
    <w:p w:rsidR="00BE7B34" w:rsidRDefault="00916FDE" w:rsidP="00BE7B34">
      <w:pPr>
        <w:pStyle w:val="NormalWeb"/>
        <w:shd w:val="clear" w:color="auto" w:fill="FFFFFF"/>
        <w:spacing w:after="0" w:line="390" w:lineRule="atLeast"/>
        <w:textAlignment w:val="baseline"/>
      </w:pPr>
      <w:hyperlink r:id="rId11" w:history="1">
        <w:r w:rsidR="002C67D0" w:rsidRPr="002C67D0">
          <w:rPr>
            <w:rStyle w:val="Lienhypertexte"/>
            <w:rFonts w:asciiTheme="minorHAnsi" w:hAnsiTheme="minorHAnsi" w:cstheme="minorHAnsi"/>
            <w:bCs/>
            <w:sz w:val="22"/>
            <w:szCs w:val="22"/>
          </w:rPr>
          <w:t>Décret n° 2023-614 du 17 juillet 2023</w:t>
        </w:r>
      </w:hyperlink>
      <w:r w:rsidR="002C67D0" w:rsidRPr="002C67D0">
        <w:rPr>
          <w:rFonts w:asciiTheme="minorHAnsi" w:hAnsiTheme="minorHAnsi" w:cstheme="minorHAnsi"/>
          <w:bCs/>
          <w:sz w:val="22"/>
          <w:szCs w:val="22"/>
        </w:rPr>
        <w:t xml:space="preserve"> relatif au réexamen du droit à une bourse nationale d'études du second degré en cas de changement de la personne en charge de l'élève boursier en cours d'année scolaire</w:t>
      </w:r>
      <w:r w:rsidR="002C67D0">
        <w:rPr>
          <w:rFonts w:asciiTheme="minorHAnsi" w:hAnsiTheme="minorHAnsi" w:cstheme="minorHAnsi"/>
          <w:bCs/>
          <w:sz w:val="22"/>
          <w:szCs w:val="22"/>
        </w:rPr>
        <w:br/>
      </w:r>
      <w:r w:rsidR="002C67D0">
        <w:rPr>
          <w:rFonts w:asciiTheme="minorHAnsi" w:hAnsiTheme="minorHAnsi" w:cstheme="minorHAnsi"/>
          <w:bCs/>
          <w:sz w:val="22"/>
          <w:szCs w:val="22"/>
        </w:rPr>
        <w:br/>
        <w:t>Journal officiel du 19 juillet 2023</w:t>
      </w:r>
      <w:r w:rsidR="002C67D0">
        <w:rPr>
          <w:rFonts w:asciiTheme="minorHAnsi" w:hAnsiTheme="minorHAnsi" w:cstheme="minorHAnsi"/>
          <w:bCs/>
          <w:sz w:val="22"/>
          <w:szCs w:val="22"/>
        </w:rPr>
        <w:br/>
      </w:r>
      <w:r w:rsidR="002C67D0">
        <w:rPr>
          <w:rFonts w:asciiTheme="minorHAnsi" w:hAnsiTheme="minorHAnsi" w:cstheme="minorHAnsi"/>
          <w:bCs/>
          <w:sz w:val="22"/>
          <w:szCs w:val="22"/>
        </w:rPr>
        <w:br/>
      </w:r>
      <w:r w:rsidR="002C67D0" w:rsidRPr="002C67D0">
        <w:rPr>
          <w:rFonts w:asciiTheme="minorHAnsi" w:hAnsiTheme="minorHAnsi" w:cstheme="minorHAnsi"/>
          <w:color w:val="000000"/>
          <w:sz w:val="22"/>
          <w:szCs w:val="22"/>
          <w:shd w:val="clear" w:color="auto" w:fill="FFFFFF"/>
        </w:rPr>
        <w:t>Le décret prévoit qu'en cas de changement, en cours d'année scolaire ou de scolarité, de la ou des personnes qui, au sens de la législation sur les prestations familiales, assument la charge effective et permanente d'un élève boursier, l'administration procède à la cessation du versement de la bourse et, le cas échéant, au réexamen du droit à bourse au bénéfice de la nouvelle personne ayant alors la charge de l'élève.</w:t>
      </w:r>
      <w:r w:rsidR="002C67D0">
        <w:rPr>
          <w:rFonts w:asciiTheme="minorHAnsi" w:hAnsiTheme="minorHAnsi" w:cstheme="minorHAnsi"/>
          <w:color w:val="000000"/>
          <w:sz w:val="22"/>
          <w:szCs w:val="22"/>
          <w:shd w:val="clear" w:color="auto" w:fill="FFFFFF"/>
        </w:rPr>
        <w:br/>
      </w:r>
      <w:r w:rsidR="00BE7B34">
        <w:br w:type="page"/>
      </w:r>
    </w:p>
    <w:bookmarkStart w:id="0" w:name="_GoBack"/>
    <w:bookmarkEnd w:id="0"/>
    <w:p w:rsidR="002C67D0" w:rsidRPr="002C67D0" w:rsidRDefault="00916FDE" w:rsidP="002C67D0">
      <w:pPr>
        <w:pStyle w:val="NormalWeb"/>
        <w:shd w:val="clear" w:color="auto" w:fill="FFFFFF"/>
        <w:spacing w:after="0" w:line="390" w:lineRule="atLeast"/>
        <w:textAlignment w:val="baseline"/>
        <w:rPr>
          <w:rFonts w:asciiTheme="minorHAnsi" w:hAnsiTheme="minorHAnsi" w:cstheme="minorHAnsi"/>
          <w:sz w:val="22"/>
          <w:szCs w:val="22"/>
        </w:rPr>
      </w:pPr>
      <w:r>
        <w:lastRenderedPageBreak/>
        <w:fldChar w:fldCharType="begin"/>
      </w:r>
      <w:r>
        <w:instrText xml:space="preserve"> HYPERLINK "https://www.enseignementsup-recherche.gouv.fr/fr/bo/2023/Hebdo29/ESRS2315208C" </w:instrText>
      </w:r>
      <w:r>
        <w:fldChar w:fldCharType="separate"/>
      </w:r>
      <w:r w:rsidR="002C67D0" w:rsidRPr="002C67D0">
        <w:rPr>
          <w:rStyle w:val="Lienhypertexte"/>
          <w:rFonts w:asciiTheme="minorHAnsi" w:hAnsiTheme="minorHAnsi" w:cstheme="minorHAnsi"/>
          <w:sz w:val="22"/>
          <w:szCs w:val="22"/>
        </w:rPr>
        <w:t>Circulaire du 17/07/2023</w:t>
      </w:r>
      <w:r>
        <w:rPr>
          <w:rStyle w:val="Lienhypertexte"/>
          <w:rFonts w:asciiTheme="minorHAnsi" w:hAnsiTheme="minorHAnsi" w:cstheme="minorHAnsi"/>
          <w:sz w:val="22"/>
          <w:szCs w:val="22"/>
        </w:rPr>
        <w:fldChar w:fldCharType="end"/>
      </w:r>
      <w:r w:rsidR="002C67D0">
        <w:rPr>
          <w:rFonts w:asciiTheme="minorHAnsi" w:hAnsiTheme="minorHAnsi" w:cstheme="minorHAnsi"/>
          <w:color w:val="000000"/>
          <w:sz w:val="22"/>
          <w:szCs w:val="22"/>
        </w:rPr>
        <w:t xml:space="preserve"> relative aux m</w:t>
      </w:r>
      <w:r w:rsidR="002C67D0" w:rsidRPr="002C67D0">
        <w:rPr>
          <w:rFonts w:asciiTheme="minorHAnsi" w:hAnsiTheme="minorHAnsi" w:cstheme="minorHAnsi"/>
          <w:color w:val="000000"/>
          <w:sz w:val="22"/>
          <w:szCs w:val="22"/>
        </w:rPr>
        <w:t>odalités d'attribution des bourses d'enseignement supérieur sur critères sociaux, des aides au mérite et des aides à la mobilité internationale pour l'année 2023-2024</w:t>
      </w:r>
      <w:r w:rsidR="002C67D0">
        <w:rPr>
          <w:rFonts w:asciiTheme="minorHAnsi" w:hAnsiTheme="minorHAnsi" w:cstheme="minorHAnsi"/>
          <w:color w:val="000000"/>
          <w:sz w:val="22"/>
          <w:szCs w:val="22"/>
        </w:rPr>
        <w:br/>
      </w:r>
      <w:r w:rsidR="002C67D0">
        <w:rPr>
          <w:rFonts w:asciiTheme="minorHAnsi" w:hAnsiTheme="minorHAnsi" w:cstheme="minorHAnsi"/>
          <w:color w:val="000000"/>
          <w:sz w:val="22"/>
          <w:szCs w:val="22"/>
        </w:rPr>
        <w:br/>
        <w:t>Bulletin officiel du ministère de l’enseignement supérieur et de la recherche n° 29 du 20 juillet 2023</w:t>
      </w:r>
      <w:r w:rsidR="002C67D0">
        <w:rPr>
          <w:rFonts w:asciiTheme="minorHAnsi" w:hAnsiTheme="minorHAnsi" w:cstheme="minorHAnsi"/>
          <w:color w:val="000000"/>
          <w:sz w:val="22"/>
          <w:szCs w:val="22"/>
        </w:rPr>
        <w:br/>
      </w:r>
      <w:r w:rsidR="002C67D0">
        <w:rPr>
          <w:rFonts w:asciiTheme="minorHAnsi" w:hAnsiTheme="minorHAnsi" w:cstheme="minorHAnsi"/>
          <w:color w:val="000000"/>
          <w:sz w:val="22"/>
          <w:szCs w:val="22"/>
        </w:rPr>
        <w:br/>
      </w:r>
      <w:r w:rsidR="002C67D0" w:rsidRPr="002C67D0">
        <w:rPr>
          <w:rFonts w:asciiTheme="minorHAnsi" w:hAnsiTheme="minorHAnsi" w:cstheme="minorHAnsi"/>
          <w:sz w:val="22"/>
          <w:szCs w:val="22"/>
        </w:rPr>
        <w:t>La présente circulaire fixe les modalités d’attribution des bourses d’enseignement supérieur sur critères sociaux, des aides au mérite et des aides à la mobilité internationale pour l’année 2023-2024.</w:t>
      </w:r>
    </w:p>
    <w:p w:rsidR="002C67D0" w:rsidRPr="002C67D0" w:rsidRDefault="002C67D0" w:rsidP="002C67D0">
      <w:pPr>
        <w:shd w:val="clear" w:color="auto" w:fill="FFFFFF"/>
        <w:spacing w:after="0" w:line="390" w:lineRule="atLeast"/>
        <w:textAlignment w:val="baseline"/>
        <w:rPr>
          <w:rFonts w:cstheme="minorHAnsi"/>
        </w:rPr>
      </w:pPr>
      <w:r w:rsidRPr="002C67D0">
        <w:rPr>
          <w:rFonts w:eastAsia="Times New Roman" w:cstheme="minorHAnsi"/>
          <w:lang w:eastAsia="fr-FR"/>
        </w:rPr>
        <w:t>En application des dispositions de l’article L. 821-1 du Code de l’éducation, l’État peut attribuer des aides financières aux étudiants inscrits en formation initiale. Ces aides sont destinées à favoriser l’accès à l’enseignement supérieur, à améliorer les conditions d’études et à contribuer à la réussite des étudiants.</w:t>
      </w:r>
    </w:p>
    <w:p w:rsidR="002C67D0" w:rsidRDefault="002C67D0" w:rsidP="00052B88">
      <w:pPr>
        <w:rPr>
          <w:rFonts w:cstheme="minorHAnsi"/>
        </w:rPr>
      </w:pPr>
    </w:p>
    <w:sectPr w:rsidR="002C67D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FDE" w:rsidRDefault="00916FDE" w:rsidP="00943B28">
      <w:pPr>
        <w:spacing w:after="0" w:line="240" w:lineRule="auto"/>
      </w:pPr>
      <w:r>
        <w:separator/>
      </w:r>
    </w:p>
  </w:endnote>
  <w:endnote w:type="continuationSeparator" w:id="0">
    <w:p w:rsidR="00916FDE" w:rsidRDefault="00916FDE"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BE7B34">
          <w:rPr>
            <w:noProof/>
          </w:rPr>
          <w:t>1</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FDE" w:rsidRDefault="00916FDE" w:rsidP="00943B28">
      <w:pPr>
        <w:spacing w:after="0" w:line="240" w:lineRule="auto"/>
      </w:pPr>
      <w:r>
        <w:separator/>
      </w:r>
    </w:p>
  </w:footnote>
  <w:footnote w:type="continuationSeparator" w:id="0">
    <w:p w:rsidR="00916FDE" w:rsidRDefault="00916FDE"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1"/>
  </w:num>
  <w:num w:numId="3">
    <w:abstractNumId w:val="23"/>
  </w:num>
  <w:num w:numId="4">
    <w:abstractNumId w:val="10"/>
  </w:num>
  <w:num w:numId="5">
    <w:abstractNumId w:val="0"/>
  </w:num>
  <w:num w:numId="6">
    <w:abstractNumId w:val="8"/>
  </w:num>
  <w:num w:numId="7">
    <w:abstractNumId w:val="3"/>
  </w:num>
  <w:num w:numId="8">
    <w:abstractNumId w:val="13"/>
  </w:num>
  <w:num w:numId="9">
    <w:abstractNumId w:val="17"/>
  </w:num>
  <w:num w:numId="10">
    <w:abstractNumId w:val="16"/>
  </w:num>
  <w:num w:numId="11">
    <w:abstractNumId w:val="5"/>
  </w:num>
  <w:num w:numId="12">
    <w:abstractNumId w:val="7"/>
  </w:num>
  <w:num w:numId="13">
    <w:abstractNumId w:val="6"/>
  </w:num>
  <w:num w:numId="14">
    <w:abstractNumId w:val="9"/>
  </w:num>
  <w:num w:numId="15">
    <w:abstractNumId w:val="2"/>
  </w:num>
  <w:num w:numId="16">
    <w:abstractNumId w:val="15"/>
  </w:num>
  <w:num w:numId="17">
    <w:abstractNumId w:val="20"/>
  </w:num>
  <w:num w:numId="18">
    <w:abstractNumId w:val="1"/>
  </w:num>
  <w:num w:numId="19">
    <w:abstractNumId w:val="11"/>
  </w:num>
  <w:num w:numId="20">
    <w:abstractNumId w:val="22"/>
  </w:num>
  <w:num w:numId="21">
    <w:abstractNumId w:val="14"/>
  </w:num>
  <w:num w:numId="22">
    <w:abstractNumId w:val="19"/>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16B19"/>
    <w:rsid w:val="000417BA"/>
    <w:rsid w:val="00042D6C"/>
    <w:rsid w:val="00052B88"/>
    <w:rsid w:val="000550BB"/>
    <w:rsid w:val="00061880"/>
    <w:rsid w:val="00062B48"/>
    <w:rsid w:val="00063E56"/>
    <w:rsid w:val="0006546C"/>
    <w:rsid w:val="00080F86"/>
    <w:rsid w:val="00090E43"/>
    <w:rsid w:val="0009519B"/>
    <w:rsid w:val="00096BAE"/>
    <w:rsid w:val="000A0F30"/>
    <w:rsid w:val="000A3DA9"/>
    <w:rsid w:val="000A4FD1"/>
    <w:rsid w:val="000A7B61"/>
    <w:rsid w:val="000C4C9E"/>
    <w:rsid w:val="000D0CAE"/>
    <w:rsid w:val="000D111E"/>
    <w:rsid w:val="000E4A2F"/>
    <w:rsid w:val="001170D3"/>
    <w:rsid w:val="00120EA8"/>
    <w:rsid w:val="00140FBE"/>
    <w:rsid w:val="001450BC"/>
    <w:rsid w:val="00152876"/>
    <w:rsid w:val="0015331B"/>
    <w:rsid w:val="00176BC1"/>
    <w:rsid w:val="00187C0B"/>
    <w:rsid w:val="001B56A7"/>
    <w:rsid w:val="001C175F"/>
    <w:rsid w:val="001E6DF6"/>
    <w:rsid w:val="001F2016"/>
    <w:rsid w:val="002027D6"/>
    <w:rsid w:val="002046A4"/>
    <w:rsid w:val="00216DBB"/>
    <w:rsid w:val="00220F47"/>
    <w:rsid w:val="00223DD0"/>
    <w:rsid w:val="00225549"/>
    <w:rsid w:val="00240CD4"/>
    <w:rsid w:val="002658C3"/>
    <w:rsid w:val="00275BA2"/>
    <w:rsid w:val="00281228"/>
    <w:rsid w:val="00291C56"/>
    <w:rsid w:val="00297406"/>
    <w:rsid w:val="002A0328"/>
    <w:rsid w:val="002B240B"/>
    <w:rsid w:val="002B5A9E"/>
    <w:rsid w:val="002B729E"/>
    <w:rsid w:val="002B76EA"/>
    <w:rsid w:val="002C0398"/>
    <w:rsid w:val="002C04B0"/>
    <w:rsid w:val="002C67D0"/>
    <w:rsid w:val="002E1BE8"/>
    <w:rsid w:val="003050F2"/>
    <w:rsid w:val="00310CE9"/>
    <w:rsid w:val="00311061"/>
    <w:rsid w:val="00311069"/>
    <w:rsid w:val="003122A0"/>
    <w:rsid w:val="00316F2A"/>
    <w:rsid w:val="00322180"/>
    <w:rsid w:val="00326987"/>
    <w:rsid w:val="003371A7"/>
    <w:rsid w:val="0034134E"/>
    <w:rsid w:val="00341BAC"/>
    <w:rsid w:val="00350E31"/>
    <w:rsid w:val="00373AF6"/>
    <w:rsid w:val="00376092"/>
    <w:rsid w:val="003805B2"/>
    <w:rsid w:val="00381724"/>
    <w:rsid w:val="00386267"/>
    <w:rsid w:val="00391D5E"/>
    <w:rsid w:val="003A05EC"/>
    <w:rsid w:val="003B5B63"/>
    <w:rsid w:val="003C12BD"/>
    <w:rsid w:val="003F3CE4"/>
    <w:rsid w:val="004115A4"/>
    <w:rsid w:val="00426574"/>
    <w:rsid w:val="00430648"/>
    <w:rsid w:val="004440D3"/>
    <w:rsid w:val="00445921"/>
    <w:rsid w:val="00447CCA"/>
    <w:rsid w:val="00460340"/>
    <w:rsid w:val="00461FF0"/>
    <w:rsid w:val="00467419"/>
    <w:rsid w:val="00474371"/>
    <w:rsid w:val="0049467C"/>
    <w:rsid w:val="004A4860"/>
    <w:rsid w:val="004B2B29"/>
    <w:rsid w:val="004B7585"/>
    <w:rsid w:val="004D0004"/>
    <w:rsid w:val="004D008F"/>
    <w:rsid w:val="004E4229"/>
    <w:rsid w:val="004F13E7"/>
    <w:rsid w:val="0052310B"/>
    <w:rsid w:val="00546A8C"/>
    <w:rsid w:val="00571076"/>
    <w:rsid w:val="0058346F"/>
    <w:rsid w:val="005A246C"/>
    <w:rsid w:val="005B2429"/>
    <w:rsid w:val="005C1B48"/>
    <w:rsid w:val="005C2D73"/>
    <w:rsid w:val="005C4276"/>
    <w:rsid w:val="005F3C35"/>
    <w:rsid w:val="00600BFE"/>
    <w:rsid w:val="006047B7"/>
    <w:rsid w:val="00607326"/>
    <w:rsid w:val="006219BB"/>
    <w:rsid w:val="00630368"/>
    <w:rsid w:val="00631D1F"/>
    <w:rsid w:val="00634C9B"/>
    <w:rsid w:val="006526D8"/>
    <w:rsid w:val="0065783B"/>
    <w:rsid w:val="006706F2"/>
    <w:rsid w:val="00680B28"/>
    <w:rsid w:val="006923D3"/>
    <w:rsid w:val="006976EB"/>
    <w:rsid w:val="006B182D"/>
    <w:rsid w:val="006B25CA"/>
    <w:rsid w:val="006B6C2A"/>
    <w:rsid w:val="006C6087"/>
    <w:rsid w:val="006E0B62"/>
    <w:rsid w:val="006F4CC4"/>
    <w:rsid w:val="00701690"/>
    <w:rsid w:val="00712E7A"/>
    <w:rsid w:val="00713A6A"/>
    <w:rsid w:val="00714C03"/>
    <w:rsid w:val="0072010E"/>
    <w:rsid w:val="0072136B"/>
    <w:rsid w:val="0072717D"/>
    <w:rsid w:val="00736A4A"/>
    <w:rsid w:val="00741511"/>
    <w:rsid w:val="00751719"/>
    <w:rsid w:val="007752EB"/>
    <w:rsid w:val="00781B4C"/>
    <w:rsid w:val="007827F8"/>
    <w:rsid w:val="007944D3"/>
    <w:rsid w:val="007A1C07"/>
    <w:rsid w:val="007A52B2"/>
    <w:rsid w:val="007B15CB"/>
    <w:rsid w:val="007C0AF4"/>
    <w:rsid w:val="007C1433"/>
    <w:rsid w:val="007C7E2C"/>
    <w:rsid w:val="007D0BA1"/>
    <w:rsid w:val="007D503B"/>
    <w:rsid w:val="007E2E13"/>
    <w:rsid w:val="007F0E25"/>
    <w:rsid w:val="007F5A53"/>
    <w:rsid w:val="00800061"/>
    <w:rsid w:val="00851382"/>
    <w:rsid w:val="00852B36"/>
    <w:rsid w:val="00854F82"/>
    <w:rsid w:val="008627F4"/>
    <w:rsid w:val="00862808"/>
    <w:rsid w:val="00874F3E"/>
    <w:rsid w:val="008835D7"/>
    <w:rsid w:val="00885A88"/>
    <w:rsid w:val="00890A43"/>
    <w:rsid w:val="00890FD1"/>
    <w:rsid w:val="00895031"/>
    <w:rsid w:val="008B2D05"/>
    <w:rsid w:val="008C4E3B"/>
    <w:rsid w:val="008D3C1E"/>
    <w:rsid w:val="008E640E"/>
    <w:rsid w:val="008F6F0D"/>
    <w:rsid w:val="00901B92"/>
    <w:rsid w:val="009023CD"/>
    <w:rsid w:val="00905E92"/>
    <w:rsid w:val="00905FF3"/>
    <w:rsid w:val="0091538B"/>
    <w:rsid w:val="00916FDE"/>
    <w:rsid w:val="00924296"/>
    <w:rsid w:val="00930CDA"/>
    <w:rsid w:val="00937E69"/>
    <w:rsid w:val="00943B28"/>
    <w:rsid w:val="009526F4"/>
    <w:rsid w:val="009572AD"/>
    <w:rsid w:val="0096235B"/>
    <w:rsid w:val="009652A7"/>
    <w:rsid w:val="0097253A"/>
    <w:rsid w:val="009779AD"/>
    <w:rsid w:val="00977B6A"/>
    <w:rsid w:val="009A1B53"/>
    <w:rsid w:val="009A3961"/>
    <w:rsid w:val="009C1C28"/>
    <w:rsid w:val="009C7C84"/>
    <w:rsid w:val="009D45A0"/>
    <w:rsid w:val="009D481B"/>
    <w:rsid w:val="009E14B0"/>
    <w:rsid w:val="009E6DB7"/>
    <w:rsid w:val="009F0AD0"/>
    <w:rsid w:val="00A0075B"/>
    <w:rsid w:val="00A07A83"/>
    <w:rsid w:val="00A304F7"/>
    <w:rsid w:val="00A63ABC"/>
    <w:rsid w:val="00A64284"/>
    <w:rsid w:val="00A76E4C"/>
    <w:rsid w:val="00A91312"/>
    <w:rsid w:val="00AB1661"/>
    <w:rsid w:val="00AB521C"/>
    <w:rsid w:val="00AB6042"/>
    <w:rsid w:val="00AC5BCC"/>
    <w:rsid w:val="00AD3799"/>
    <w:rsid w:val="00B03E0E"/>
    <w:rsid w:val="00B042D6"/>
    <w:rsid w:val="00B116F4"/>
    <w:rsid w:val="00B1217E"/>
    <w:rsid w:val="00B12E78"/>
    <w:rsid w:val="00B17E62"/>
    <w:rsid w:val="00B21FE5"/>
    <w:rsid w:val="00B2213E"/>
    <w:rsid w:val="00B33688"/>
    <w:rsid w:val="00B3470A"/>
    <w:rsid w:val="00B51FD3"/>
    <w:rsid w:val="00B62CA3"/>
    <w:rsid w:val="00B6679B"/>
    <w:rsid w:val="00B71459"/>
    <w:rsid w:val="00BA32C4"/>
    <w:rsid w:val="00BA5951"/>
    <w:rsid w:val="00BA668C"/>
    <w:rsid w:val="00BC0CAD"/>
    <w:rsid w:val="00BC5638"/>
    <w:rsid w:val="00BD5A23"/>
    <w:rsid w:val="00BD6A01"/>
    <w:rsid w:val="00BE7B34"/>
    <w:rsid w:val="00BF4B88"/>
    <w:rsid w:val="00BF646B"/>
    <w:rsid w:val="00BF6976"/>
    <w:rsid w:val="00C1779F"/>
    <w:rsid w:val="00C20B73"/>
    <w:rsid w:val="00C27709"/>
    <w:rsid w:val="00C46DD3"/>
    <w:rsid w:val="00C55DC0"/>
    <w:rsid w:val="00C67733"/>
    <w:rsid w:val="00C71A8D"/>
    <w:rsid w:val="00C74FA2"/>
    <w:rsid w:val="00C76C36"/>
    <w:rsid w:val="00CA6DB0"/>
    <w:rsid w:val="00CB1A6D"/>
    <w:rsid w:val="00CC1DE9"/>
    <w:rsid w:val="00CC36AF"/>
    <w:rsid w:val="00CD1D11"/>
    <w:rsid w:val="00CE144B"/>
    <w:rsid w:val="00CE67DE"/>
    <w:rsid w:val="00CE698E"/>
    <w:rsid w:val="00CE7FD1"/>
    <w:rsid w:val="00CF27CD"/>
    <w:rsid w:val="00CF6FCC"/>
    <w:rsid w:val="00CF707F"/>
    <w:rsid w:val="00D019D3"/>
    <w:rsid w:val="00D02D4B"/>
    <w:rsid w:val="00D12233"/>
    <w:rsid w:val="00D21DA0"/>
    <w:rsid w:val="00D24596"/>
    <w:rsid w:val="00D27FE4"/>
    <w:rsid w:val="00D300B9"/>
    <w:rsid w:val="00D365EC"/>
    <w:rsid w:val="00D415CA"/>
    <w:rsid w:val="00D42A0F"/>
    <w:rsid w:val="00D444DF"/>
    <w:rsid w:val="00D52B3E"/>
    <w:rsid w:val="00D565EB"/>
    <w:rsid w:val="00D81B58"/>
    <w:rsid w:val="00D95EA0"/>
    <w:rsid w:val="00D97151"/>
    <w:rsid w:val="00DA1918"/>
    <w:rsid w:val="00DB2DAA"/>
    <w:rsid w:val="00DC3C06"/>
    <w:rsid w:val="00DC5E17"/>
    <w:rsid w:val="00DD26AF"/>
    <w:rsid w:val="00DD283F"/>
    <w:rsid w:val="00DE36D5"/>
    <w:rsid w:val="00DE67F1"/>
    <w:rsid w:val="00DF0284"/>
    <w:rsid w:val="00DF3DB1"/>
    <w:rsid w:val="00E03B9D"/>
    <w:rsid w:val="00E06030"/>
    <w:rsid w:val="00E15CAF"/>
    <w:rsid w:val="00E17983"/>
    <w:rsid w:val="00E2138E"/>
    <w:rsid w:val="00E63653"/>
    <w:rsid w:val="00E7518A"/>
    <w:rsid w:val="00E75703"/>
    <w:rsid w:val="00E77A5D"/>
    <w:rsid w:val="00E875BE"/>
    <w:rsid w:val="00E90886"/>
    <w:rsid w:val="00EA0630"/>
    <w:rsid w:val="00EA214F"/>
    <w:rsid w:val="00EA4AB7"/>
    <w:rsid w:val="00EB01E4"/>
    <w:rsid w:val="00EE1488"/>
    <w:rsid w:val="00EE1CC4"/>
    <w:rsid w:val="00EE475F"/>
    <w:rsid w:val="00EE7D85"/>
    <w:rsid w:val="00EF08E3"/>
    <w:rsid w:val="00EF3B61"/>
    <w:rsid w:val="00EF6DFB"/>
    <w:rsid w:val="00F10019"/>
    <w:rsid w:val="00F12F6D"/>
    <w:rsid w:val="00F15410"/>
    <w:rsid w:val="00F17EDA"/>
    <w:rsid w:val="00F27A4E"/>
    <w:rsid w:val="00F413E5"/>
    <w:rsid w:val="00F6302F"/>
    <w:rsid w:val="00F65FD2"/>
    <w:rsid w:val="00F953B5"/>
    <w:rsid w:val="00FA3425"/>
    <w:rsid w:val="00FA5381"/>
    <w:rsid w:val="00FC11B3"/>
    <w:rsid w:val="00FE1A71"/>
    <w:rsid w:val="00FE51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B78B"/>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43">
      <w:bodyDiv w:val="1"/>
      <w:marLeft w:val="0"/>
      <w:marRight w:val="0"/>
      <w:marTop w:val="0"/>
      <w:marBottom w:val="0"/>
      <w:divBdr>
        <w:top w:val="none" w:sz="0" w:space="0" w:color="auto"/>
        <w:left w:val="none" w:sz="0" w:space="0" w:color="auto"/>
        <w:bottom w:val="none" w:sz="0" w:space="0" w:color="auto"/>
        <w:right w:val="none" w:sz="0" w:space="0" w:color="auto"/>
      </w:divBdr>
    </w:div>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299117881">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56344927">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2770085">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7247795">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08757859">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40638412">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37841644">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1983580718">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47858270" TargetMode="External"/><Relationship Id="rId5" Type="http://schemas.openxmlformats.org/officeDocument/2006/relationships/webSettings" Target="webSettings.xml"/><Relationship Id="rId10" Type="http://schemas.openxmlformats.org/officeDocument/2006/relationships/hyperlink" Target="https://www.education.gouv.fr/bo/2023/Hebdo29/MENE2315401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C224C-9601-44CA-9177-7637E036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2</Pages>
  <Words>458</Words>
  <Characters>2521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248</cp:revision>
  <dcterms:created xsi:type="dcterms:W3CDTF">2021-03-23T13:03:00Z</dcterms:created>
  <dcterms:modified xsi:type="dcterms:W3CDTF">2023-08-21T13:35:00Z</dcterms:modified>
</cp:coreProperties>
</file>