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5B2429">
        <w:rPr>
          <w:b/>
        </w:rPr>
        <w:t>3</w:t>
      </w:r>
      <w:r w:rsidR="003A05EC">
        <w:rPr>
          <w:b/>
        </w:rPr>
        <w:t xml:space="preserve"> du </w:t>
      </w:r>
      <w:r w:rsidR="005B2429">
        <w:rPr>
          <w:b/>
        </w:rPr>
        <w:t>23</w:t>
      </w:r>
      <w:r w:rsidR="003A05EC">
        <w:rPr>
          <w:b/>
        </w:rPr>
        <w:t xml:space="preserve"> </w:t>
      </w:r>
      <w:r w:rsidR="005B2429">
        <w:rPr>
          <w:b/>
        </w:rPr>
        <w:t>août</w:t>
      </w:r>
      <w:r w:rsidR="00F27A4E">
        <w:rPr>
          <w:b/>
        </w:rPr>
        <w:t xml:space="preserve"> 202</w:t>
      </w:r>
      <w:r w:rsidR="005A246C">
        <w:rPr>
          <w:b/>
        </w:rPr>
        <w:t>3</w:t>
      </w:r>
    </w:p>
    <w:p w:rsidR="009C1C28" w:rsidRDefault="0098381D" w:rsidP="003A05EC">
      <w:pPr>
        <w:spacing w:after="0" w:line="240" w:lineRule="auto"/>
        <w:jc w:val="center"/>
        <w:rPr>
          <w:rFonts w:cstheme="minorHAnsi"/>
          <w:b/>
        </w:rPr>
      </w:pPr>
      <w:r>
        <w:rPr>
          <w:rFonts w:cstheme="minorHAnsi"/>
          <w:b/>
        </w:rPr>
        <w:t>Emploi</w:t>
      </w:r>
      <w:r w:rsidR="00042D6C">
        <w:rPr>
          <w:rFonts w:cstheme="minorHAnsi"/>
          <w:b/>
        </w:rPr>
        <w:t xml:space="preserve"> </w:t>
      </w:r>
      <w:r w:rsidR="00A76E4C">
        <w:rPr>
          <w:rFonts w:cstheme="minorHAnsi"/>
          <w:b/>
        </w:rPr>
        <w:t xml:space="preserve">: </w:t>
      </w:r>
      <w:r>
        <w:rPr>
          <w:rFonts w:cstheme="minorHAnsi"/>
          <w:b/>
        </w:rPr>
        <w:t>1 circulaire et 1 arrêté</w:t>
      </w:r>
    </w:p>
    <w:p w:rsidR="00DD26AF" w:rsidRDefault="00DD26AF" w:rsidP="0098381D">
      <w:pPr>
        <w:spacing w:after="0" w:line="240" w:lineRule="auto"/>
        <w:rPr>
          <w:rFonts w:cstheme="minorHAnsi"/>
          <w:b/>
        </w:rPr>
      </w:pPr>
    </w:p>
    <w:p w:rsidR="002C67D0" w:rsidRDefault="002C67D0" w:rsidP="0098381D">
      <w:pPr>
        <w:spacing w:after="0" w:line="240" w:lineRule="auto"/>
        <w:rPr>
          <w:rFonts w:cstheme="minorHAnsi"/>
          <w:b/>
        </w:rPr>
      </w:pPr>
    </w:p>
    <w:p w:rsidR="0098381D" w:rsidRPr="0098381D" w:rsidRDefault="0098381D" w:rsidP="0098381D">
      <w:pPr>
        <w:pStyle w:val="Titre1"/>
        <w:shd w:val="clear" w:color="auto" w:fill="FFFFFF"/>
        <w:spacing w:before="0" w:line="240" w:lineRule="auto"/>
        <w:textAlignment w:val="baseline"/>
        <w:rPr>
          <w:rFonts w:asciiTheme="minorHAnsi" w:hAnsiTheme="minorHAnsi" w:cstheme="minorHAnsi"/>
          <w:color w:val="auto"/>
          <w:sz w:val="22"/>
          <w:szCs w:val="22"/>
        </w:rPr>
      </w:pPr>
      <w:hyperlink r:id="rId10" w:history="1">
        <w:r w:rsidRPr="0098381D">
          <w:rPr>
            <w:rStyle w:val="Lienhypertexte"/>
            <w:rFonts w:asciiTheme="minorHAnsi" w:hAnsiTheme="minorHAnsi" w:cstheme="minorHAnsi"/>
            <w:sz w:val="22"/>
            <w:szCs w:val="22"/>
          </w:rPr>
          <w:t>Circulaire du 19/06/2023</w:t>
        </w:r>
      </w:hyperlink>
      <w:r w:rsidRPr="0098381D">
        <w:rPr>
          <w:rFonts w:asciiTheme="minorHAnsi" w:hAnsiTheme="minorHAnsi" w:cstheme="minorHAnsi"/>
          <w:color w:val="auto"/>
          <w:sz w:val="22"/>
          <w:szCs w:val="22"/>
        </w:rPr>
        <w:t xml:space="preserve"> relative à </w:t>
      </w:r>
      <w:r w:rsidRPr="0098381D">
        <w:rPr>
          <w:rFonts w:asciiTheme="minorHAnsi" w:hAnsiTheme="minorHAnsi" w:cstheme="minorHAnsi"/>
          <w:color w:val="auto"/>
          <w:sz w:val="22"/>
          <w:szCs w:val="22"/>
        </w:rPr>
        <w:t>Mission de contrôle pédagogique des formations par apprentissage, sa place dans les collèges d’inspecteurs et rôle de l’inspecteur-coordonnateur</w:t>
      </w:r>
    </w:p>
    <w:p w:rsidR="0098381D" w:rsidRPr="0098381D" w:rsidRDefault="0098381D" w:rsidP="0098381D">
      <w:pPr>
        <w:spacing w:after="0" w:line="240" w:lineRule="auto"/>
        <w:rPr>
          <w:rFonts w:cstheme="minorHAnsi"/>
        </w:rPr>
      </w:pPr>
    </w:p>
    <w:p w:rsidR="00421F78" w:rsidRDefault="0098381D" w:rsidP="0098381D">
      <w:pPr>
        <w:pStyle w:val="NormalWeb"/>
        <w:shd w:val="clear" w:color="auto" w:fill="FFFFFF"/>
        <w:rPr>
          <w:rFonts w:asciiTheme="minorHAnsi" w:hAnsiTheme="minorHAnsi" w:cstheme="minorHAnsi"/>
          <w:bCs/>
          <w:sz w:val="22"/>
          <w:szCs w:val="22"/>
        </w:rPr>
      </w:pPr>
      <w:r w:rsidRPr="0098381D">
        <w:rPr>
          <w:rFonts w:asciiTheme="minorHAnsi" w:hAnsiTheme="minorHAnsi" w:cstheme="minorHAnsi"/>
          <w:sz w:val="22"/>
          <w:szCs w:val="22"/>
        </w:rPr>
        <w:t>Bulletin officiel du ministère de l’enseignement supérieur et de la recherche n° 29 du 20 juillet 2023</w:t>
      </w:r>
      <w:r>
        <w:rPr>
          <w:rFonts w:cstheme="minorHAnsi"/>
        </w:rPr>
        <w:br/>
      </w:r>
      <w:r>
        <w:rPr>
          <w:rFonts w:cstheme="minorHAnsi"/>
        </w:rPr>
        <w:br/>
      </w:r>
      <w:r w:rsidRPr="0098381D">
        <w:rPr>
          <w:rFonts w:asciiTheme="minorHAnsi" w:hAnsiTheme="minorHAnsi" w:cstheme="minorHAnsi"/>
          <w:sz w:val="22"/>
          <w:szCs w:val="22"/>
          <w:shd w:val="clear" w:color="auto" w:fill="FFFFFF"/>
        </w:rPr>
        <w:t>La loi n°</w:t>
      </w:r>
      <w:r w:rsidRPr="0098381D">
        <w:rPr>
          <w:rStyle w:val="nbsp"/>
          <w:rFonts w:asciiTheme="minorHAnsi" w:hAnsiTheme="minorHAnsi" w:cstheme="minorHAnsi"/>
          <w:sz w:val="22"/>
          <w:szCs w:val="22"/>
          <w:bdr w:val="none" w:sz="0" w:space="0" w:color="auto" w:frame="1"/>
          <w:shd w:val="clear" w:color="auto" w:fill="FFFFFF"/>
        </w:rPr>
        <w:t> </w:t>
      </w:r>
      <w:r w:rsidRPr="0098381D">
        <w:rPr>
          <w:rFonts w:asciiTheme="minorHAnsi" w:hAnsiTheme="minorHAnsi" w:cstheme="minorHAnsi"/>
          <w:sz w:val="22"/>
          <w:szCs w:val="22"/>
          <w:shd w:val="clear" w:color="auto" w:fill="FFFFFF"/>
        </w:rPr>
        <w:t>2018-771 du 5</w:t>
      </w:r>
      <w:r w:rsidRPr="0098381D">
        <w:rPr>
          <w:rStyle w:val="nbsp"/>
          <w:rFonts w:asciiTheme="minorHAnsi" w:hAnsiTheme="minorHAnsi" w:cstheme="minorHAnsi"/>
          <w:sz w:val="22"/>
          <w:szCs w:val="22"/>
          <w:bdr w:val="none" w:sz="0" w:space="0" w:color="auto" w:frame="1"/>
          <w:shd w:val="clear" w:color="auto" w:fill="FFFFFF"/>
        </w:rPr>
        <w:t> </w:t>
      </w:r>
      <w:r w:rsidRPr="0098381D">
        <w:rPr>
          <w:rFonts w:asciiTheme="minorHAnsi" w:hAnsiTheme="minorHAnsi" w:cstheme="minorHAnsi"/>
          <w:sz w:val="22"/>
          <w:szCs w:val="22"/>
          <w:shd w:val="clear" w:color="auto" w:fill="FFFFFF"/>
        </w:rPr>
        <w:t>septembre 2018 pour la liberté de choisir son avenir professionnel modifie substantiellement la mise en œuvre et le suivi des actions de formation par apprentissage. Son article 24 installe, à compter du 1er</w:t>
      </w:r>
      <w:r w:rsidRPr="0098381D">
        <w:rPr>
          <w:rStyle w:val="nbsp"/>
          <w:rFonts w:asciiTheme="minorHAnsi" w:hAnsiTheme="minorHAnsi" w:cstheme="minorHAnsi"/>
          <w:sz w:val="22"/>
          <w:szCs w:val="22"/>
          <w:bdr w:val="none" w:sz="0" w:space="0" w:color="auto" w:frame="1"/>
          <w:shd w:val="clear" w:color="auto" w:fill="FFFFFF"/>
        </w:rPr>
        <w:t> </w:t>
      </w:r>
      <w:r w:rsidRPr="0098381D">
        <w:rPr>
          <w:rFonts w:asciiTheme="minorHAnsi" w:hAnsiTheme="minorHAnsi" w:cstheme="minorHAnsi"/>
          <w:sz w:val="22"/>
          <w:szCs w:val="22"/>
          <w:shd w:val="clear" w:color="auto" w:fill="FFFFFF"/>
        </w:rPr>
        <w:t>janvier 2019, un contrôle pédagogique associant les corps d’inspection et des représentants désignés par les branches professionnelles et les chambres consulaires (article L.</w:t>
      </w:r>
      <w:r w:rsidRPr="0098381D">
        <w:rPr>
          <w:rStyle w:val="nbsp"/>
          <w:rFonts w:asciiTheme="minorHAnsi" w:hAnsiTheme="minorHAnsi" w:cstheme="minorHAnsi"/>
          <w:sz w:val="22"/>
          <w:szCs w:val="22"/>
          <w:bdr w:val="none" w:sz="0" w:space="0" w:color="auto" w:frame="1"/>
          <w:shd w:val="clear" w:color="auto" w:fill="FFFFFF"/>
        </w:rPr>
        <w:t> </w:t>
      </w:r>
      <w:r w:rsidRPr="0098381D">
        <w:rPr>
          <w:rFonts w:asciiTheme="minorHAnsi" w:hAnsiTheme="minorHAnsi" w:cstheme="minorHAnsi"/>
          <w:sz w:val="22"/>
          <w:szCs w:val="22"/>
          <w:shd w:val="clear" w:color="auto" w:fill="FFFFFF"/>
        </w:rPr>
        <w:t>6211-2 du Code du travail).</w:t>
      </w:r>
      <w:r>
        <w:rPr>
          <w:rFonts w:cstheme="minorHAnsi"/>
          <w:shd w:val="clear" w:color="auto" w:fill="FFFFFF"/>
        </w:rPr>
        <w:br/>
      </w:r>
      <w:r>
        <w:rPr>
          <w:rFonts w:cstheme="minorHAnsi"/>
          <w:shd w:val="clear" w:color="auto" w:fill="FFFFFF"/>
        </w:rPr>
        <w:br/>
      </w:r>
      <w:r>
        <w:rPr>
          <w:rFonts w:cstheme="minorHAnsi"/>
          <w:shd w:val="clear" w:color="auto" w:fill="FFFFFF"/>
        </w:rPr>
        <w:br/>
      </w:r>
      <w:hyperlink r:id="rId11" w:history="1">
        <w:r w:rsidRPr="0098381D">
          <w:rPr>
            <w:rStyle w:val="Lienhypertexte"/>
            <w:rFonts w:asciiTheme="minorHAnsi" w:hAnsiTheme="minorHAnsi" w:cstheme="minorHAnsi"/>
            <w:bCs/>
            <w:sz w:val="22"/>
            <w:szCs w:val="22"/>
          </w:rPr>
          <w:t>Arrêté du 17 août 2023 modifiant l'arrêté du 31 août 2022</w:t>
        </w:r>
      </w:hyperlink>
      <w:r w:rsidRPr="0098381D">
        <w:rPr>
          <w:rFonts w:asciiTheme="minorHAnsi" w:hAnsiTheme="minorHAnsi" w:cstheme="minorHAnsi"/>
          <w:bCs/>
          <w:sz w:val="22"/>
          <w:szCs w:val="22"/>
        </w:rPr>
        <w:t xml:space="preserve"> fixant les niveaux de prise en charge des contrats d'apprentissage</w:t>
      </w:r>
      <w:r>
        <w:rPr>
          <w:rFonts w:asciiTheme="minorHAnsi" w:hAnsiTheme="minorHAnsi" w:cstheme="minorHAnsi"/>
          <w:bCs/>
          <w:sz w:val="22"/>
          <w:szCs w:val="22"/>
        </w:rPr>
        <w:br/>
      </w:r>
      <w:r>
        <w:rPr>
          <w:rFonts w:asciiTheme="minorHAnsi" w:hAnsiTheme="minorHAnsi" w:cstheme="minorHAnsi"/>
          <w:bCs/>
          <w:sz w:val="22"/>
          <w:szCs w:val="22"/>
        </w:rPr>
        <w:br/>
        <w:t>Journal officiel du 20 août 2023</w:t>
      </w:r>
    </w:p>
    <w:p w:rsidR="00421F78" w:rsidRDefault="00421F78" w:rsidP="0098381D">
      <w:pPr>
        <w:pStyle w:val="NormalWeb"/>
        <w:shd w:val="clear" w:color="auto" w:fill="FFFFFF"/>
        <w:rPr>
          <w:rFonts w:asciiTheme="minorHAnsi" w:hAnsiTheme="minorHAnsi" w:cstheme="minorHAnsi"/>
          <w:bCs/>
          <w:sz w:val="22"/>
          <w:szCs w:val="22"/>
        </w:rPr>
      </w:pPr>
      <w:r>
        <w:rPr>
          <w:rFonts w:asciiTheme="minorHAnsi" w:hAnsiTheme="minorHAnsi" w:cstheme="minorHAnsi"/>
          <w:bCs/>
          <w:sz w:val="22"/>
          <w:szCs w:val="22"/>
        </w:rPr>
        <w:t>Annexe</w:t>
      </w:r>
    </w:p>
    <w:p w:rsidR="0098381D" w:rsidRPr="0098381D" w:rsidRDefault="00421F78" w:rsidP="0098381D">
      <w:pPr>
        <w:pStyle w:val="NormalWeb"/>
        <w:shd w:val="clear" w:color="auto" w:fill="FFFFFF"/>
        <w:rPr>
          <w:rFonts w:asciiTheme="minorHAnsi" w:hAnsiTheme="minorHAnsi" w:cstheme="minorHAnsi"/>
          <w:color w:val="000000"/>
          <w:sz w:val="22"/>
          <w:szCs w:val="22"/>
        </w:rPr>
      </w:pPr>
      <w:r w:rsidRPr="00421F78">
        <w:rPr>
          <w:rFonts w:asciiTheme="minorHAnsi" w:hAnsiTheme="minorHAnsi" w:cstheme="minorHAnsi"/>
          <w:b/>
          <w:bCs/>
          <w:sz w:val="22"/>
          <w:szCs w:val="22"/>
        </w:rPr>
        <w:t>Article 1</w:t>
      </w:r>
      <w:r w:rsidR="0098381D" w:rsidRPr="00421F78">
        <w:rPr>
          <w:rFonts w:asciiTheme="minorHAnsi" w:hAnsiTheme="minorHAnsi" w:cstheme="minorHAnsi"/>
          <w:b/>
          <w:bCs/>
          <w:sz w:val="22"/>
          <w:szCs w:val="22"/>
        </w:rPr>
        <w:br/>
      </w:r>
      <w:r w:rsidR="0098381D">
        <w:rPr>
          <w:rFonts w:asciiTheme="minorHAnsi" w:hAnsiTheme="minorHAnsi" w:cstheme="minorHAnsi"/>
          <w:bCs/>
          <w:sz w:val="22"/>
          <w:szCs w:val="22"/>
        </w:rPr>
        <w:br/>
      </w:r>
      <w:r w:rsidR="0098381D" w:rsidRPr="0098381D">
        <w:rPr>
          <w:rFonts w:asciiTheme="minorHAnsi" w:hAnsiTheme="minorHAnsi" w:cstheme="minorHAnsi"/>
          <w:color w:val="000000"/>
          <w:sz w:val="22"/>
          <w:szCs w:val="22"/>
        </w:rPr>
        <w:t>L'arrêté du 31 août 2022 susvisé est ainsi modifié :</w:t>
      </w:r>
      <w:r w:rsidR="0098381D" w:rsidRPr="0098381D">
        <w:rPr>
          <w:rFonts w:asciiTheme="minorHAnsi" w:hAnsiTheme="minorHAnsi" w:cstheme="minorHAnsi"/>
          <w:color w:val="000000"/>
          <w:sz w:val="22"/>
          <w:szCs w:val="22"/>
        </w:rPr>
        <w:br/>
        <w:t>1° Après l'article 2, il est inséré un article 2 bis ainsi rédigé :</w:t>
      </w:r>
    </w:p>
    <w:p w:rsidR="0098381D" w:rsidRPr="0098381D" w:rsidRDefault="0098381D" w:rsidP="0098381D">
      <w:pPr>
        <w:pStyle w:val="NormalWeb"/>
        <w:shd w:val="clear" w:color="auto" w:fill="FFFFFF"/>
        <w:rPr>
          <w:rFonts w:asciiTheme="minorHAnsi" w:hAnsiTheme="minorHAnsi" w:cstheme="minorHAnsi"/>
          <w:color w:val="000000"/>
          <w:sz w:val="22"/>
          <w:szCs w:val="22"/>
        </w:rPr>
      </w:pPr>
      <w:r w:rsidRPr="0098381D">
        <w:rPr>
          <w:rFonts w:asciiTheme="minorHAnsi" w:hAnsiTheme="minorHAnsi" w:cstheme="minorHAnsi"/>
          <w:color w:val="000000"/>
          <w:sz w:val="22"/>
          <w:szCs w:val="22"/>
        </w:rPr>
        <w:t>« Art. 2 bis. - Pour les certifications ne disposant pas d'un niveau de prise en charge en date du 25 janvier 2023, conformément au </w:t>
      </w:r>
      <w:hyperlink r:id="rId12" w:tooltip="Code du travail - art. D6332-79 (M)" w:history="1">
        <w:r w:rsidRPr="0098381D">
          <w:rPr>
            <w:rStyle w:val="Lienhypertexte"/>
            <w:rFonts w:asciiTheme="minorHAnsi" w:hAnsiTheme="minorHAnsi" w:cstheme="minorHAnsi"/>
            <w:color w:val="4A5E81"/>
            <w:sz w:val="22"/>
            <w:szCs w:val="22"/>
          </w:rPr>
          <w:t>VI de l'article D. 6332-79 du code du travail</w:t>
        </w:r>
      </w:hyperlink>
      <w:r w:rsidRPr="0098381D">
        <w:rPr>
          <w:rFonts w:asciiTheme="minorHAnsi" w:hAnsiTheme="minorHAnsi" w:cstheme="minorHAnsi"/>
          <w:color w:val="000000"/>
          <w:sz w:val="22"/>
          <w:szCs w:val="22"/>
        </w:rPr>
        <w:t>, le niveau de prise en charge, à défaut de sa détermination par la commission paritaire nationale de l'emploi ou, le cas échéant, par la commission paritaire de la branche professionnelle, ou à défaut de la prise en compte des recommandations de France compétences par celle-ci, est fixé dans l'annexe III du présent arrêté. » ;</w:t>
      </w:r>
    </w:p>
    <w:p w:rsidR="0098381D" w:rsidRPr="0098381D" w:rsidRDefault="0098381D" w:rsidP="00B0671B">
      <w:pPr>
        <w:pStyle w:val="NormalWeb"/>
        <w:shd w:val="clear" w:color="auto" w:fill="FFFFFF"/>
        <w:rPr>
          <w:rFonts w:cstheme="minorHAnsi"/>
        </w:rPr>
      </w:pPr>
      <w:r w:rsidRPr="0098381D">
        <w:rPr>
          <w:rFonts w:asciiTheme="minorHAnsi" w:hAnsiTheme="minorHAnsi" w:cstheme="minorHAnsi"/>
          <w:color w:val="000000"/>
          <w:sz w:val="22"/>
          <w:szCs w:val="22"/>
        </w:rPr>
        <w:t>2° L'article 3 est complété par un alinéa ainsi rédigé :</w:t>
      </w:r>
      <w:r w:rsidRPr="0098381D">
        <w:rPr>
          <w:rFonts w:asciiTheme="minorHAnsi" w:hAnsiTheme="minorHAnsi" w:cstheme="minorHAnsi"/>
          <w:color w:val="000000"/>
          <w:sz w:val="22"/>
          <w:szCs w:val="22"/>
        </w:rPr>
        <w:br/>
        <w:t>« Les niveaux de prise en charge mentionnés à l'article 2 bis s'appliquent aux contrats d'apprentissage conclus à compter du lendemain de la publication de l'arrêté du 17 août 2023 modifiant l'arrêté du 31 août 2022 fixant les niveaux de prise en charge des contrats d'apprentissage, sous réserve des dispositions prévues à l'</w:t>
      </w:r>
      <w:hyperlink r:id="rId13" w:tooltip="Code du travail - art. D6332-80 (M)" w:history="1">
        <w:r w:rsidRPr="0098381D">
          <w:rPr>
            <w:rStyle w:val="Lienhypertexte"/>
            <w:rFonts w:asciiTheme="minorHAnsi" w:hAnsiTheme="minorHAnsi" w:cstheme="minorHAnsi"/>
            <w:color w:val="4A5E81"/>
            <w:sz w:val="22"/>
            <w:szCs w:val="22"/>
          </w:rPr>
          <w:t>article D. 6332-80 du code du travail</w:t>
        </w:r>
      </w:hyperlink>
      <w:r w:rsidRPr="0098381D">
        <w:rPr>
          <w:rFonts w:asciiTheme="minorHAnsi" w:hAnsiTheme="minorHAnsi" w:cstheme="minorHAnsi"/>
          <w:color w:val="000000"/>
          <w:sz w:val="22"/>
          <w:szCs w:val="22"/>
        </w:rPr>
        <w:t>. » ;</w:t>
      </w:r>
      <w:r w:rsidRPr="0098381D">
        <w:rPr>
          <w:rFonts w:asciiTheme="minorHAnsi" w:hAnsiTheme="minorHAnsi" w:cstheme="minorHAnsi"/>
          <w:color w:val="000000"/>
          <w:sz w:val="22"/>
          <w:szCs w:val="22"/>
        </w:rPr>
        <w:br/>
        <w:t>3° Il est complété par une annexe III constituée par l'annexe I du présent arrêté.</w:t>
      </w:r>
      <w:bookmarkStart w:id="0" w:name="_GoBack"/>
      <w:bookmarkEnd w:id="0"/>
    </w:p>
    <w:sectPr w:rsidR="0098381D" w:rsidRPr="0098381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1C" w:rsidRDefault="0021201C" w:rsidP="00943B28">
      <w:pPr>
        <w:spacing w:after="0" w:line="240" w:lineRule="auto"/>
      </w:pPr>
      <w:r>
        <w:separator/>
      </w:r>
    </w:p>
  </w:endnote>
  <w:endnote w:type="continuationSeparator" w:id="0">
    <w:p w:rsidR="0021201C" w:rsidRDefault="0021201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0671B">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1C" w:rsidRDefault="0021201C" w:rsidP="00943B28">
      <w:pPr>
        <w:spacing w:after="0" w:line="240" w:lineRule="auto"/>
      </w:pPr>
      <w:r>
        <w:separator/>
      </w:r>
    </w:p>
  </w:footnote>
  <w:footnote w:type="continuationSeparator" w:id="0">
    <w:p w:rsidR="0021201C" w:rsidRDefault="0021201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201C"/>
    <w:rsid w:val="00216DBB"/>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C67D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1F78"/>
    <w:rsid w:val="00426574"/>
    <w:rsid w:val="00430648"/>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8381D"/>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B1661"/>
    <w:rsid w:val="00AB521C"/>
    <w:rsid w:val="00AB6042"/>
    <w:rsid w:val="00AC5BCC"/>
    <w:rsid w:val="00AD3799"/>
    <w:rsid w:val="00B03E0E"/>
    <w:rsid w:val="00B042D6"/>
    <w:rsid w:val="00B0671B"/>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67733"/>
    <w:rsid w:val="00C71A8D"/>
    <w:rsid w:val="00C74FA2"/>
    <w:rsid w:val="00C76C36"/>
    <w:rsid w:val="00CA6DB0"/>
    <w:rsid w:val="00CB1A6D"/>
    <w:rsid w:val="00CC1DE9"/>
    <w:rsid w:val="00CC36AF"/>
    <w:rsid w:val="00CD1D11"/>
    <w:rsid w:val="00CE144B"/>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1918"/>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77A5D"/>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598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43">
      <w:bodyDiv w:val="1"/>
      <w:marLeft w:val="0"/>
      <w:marRight w:val="0"/>
      <w:marTop w:val="0"/>
      <w:marBottom w:val="0"/>
      <w:divBdr>
        <w:top w:val="none" w:sz="0" w:space="0" w:color="auto"/>
        <w:left w:val="none" w:sz="0" w:space="0" w:color="auto"/>
        <w:bottom w:val="none" w:sz="0" w:space="0" w:color="auto"/>
        <w:right w:val="none" w:sz="0" w:space="0" w:color="auto"/>
      </w:divBdr>
    </w:div>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299117881">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4571725">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85365320">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56344927">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2770085">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6705347">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08757859">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37841644">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198358071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050&amp;idArticle=LEGIARTI00003801711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38017114&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9806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seignementsup-recherche.gouv.fr/fr/bo/2023/Hebdo29/MENE2310972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5AA5-9003-4F2A-86F5-A3CB6AC5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253</cp:revision>
  <dcterms:created xsi:type="dcterms:W3CDTF">2021-03-23T13:03:00Z</dcterms:created>
  <dcterms:modified xsi:type="dcterms:W3CDTF">2023-08-21T11:34:00Z</dcterms:modified>
</cp:coreProperties>
</file>