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092775" w:rsidP="00BA5951">
      <w:pPr>
        <w:autoSpaceDE w:val="0"/>
        <w:autoSpaceDN w:val="0"/>
        <w:adjustRightInd w:val="0"/>
        <w:jc w:val="both"/>
        <w:rPr>
          <w:rFonts w:cstheme="minorHAnsi"/>
        </w:rPr>
      </w:pPr>
      <w:r>
        <w:rPr>
          <w:noProof/>
          <w:lang w:eastAsia="fr-FR"/>
        </w:rPr>
        <w:drawing>
          <wp:inline distT="0" distB="0" distL="0" distR="0" wp14:anchorId="50014FCC" wp14:editId="5D5F14C2">
            <wp:extent cx="3209925" cy="971550"/>
            <wp:effectExtent l="0" t="0" r="9525" b="0"/>
            <wp:docPr id="1" name="Image 1" descr="MENJSJOP_DJEPVA_SignatureMail"/>
            <wp:cNvGraphicFramePr/>
            <a:graphic xmlns:a="http://schemas.openxmlformats.org/drawingml/2006/main">
              <a:graphicData uri="http://schemas.openxmlformats.org/drawingml/2006/picture">
                <pic:pic xmlns:pic="http://schemas.openxmlformats.org/drawingml/2006/picture">
                  <pic:nvPicPr>
                    <pic:cNvPr id="1" name="Image 1" descr="MENJSJOP_DJEPVA_SignatureMai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971550"/>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F04195">
        <w:rPr>
          <w:b/>
        </w:rPr>
        <w:t>2</w:t>
      </w:r>
      <w:r w:rsidR="00480478">
        <w:rPr>
          <w:b/>
        </w:rPr>
        <w:t>5</w:t>
      </w:r>
      <w:r w:rsidR="003A05EC">
        <w:rPr>
          <w:b/>
        </w:rPr>
        <w:t xml:space="preserve"> du </w:t>
      </w:r>
      <w:r w:rsidR="00480478">
        <w:rPr>
          <w:b/>
        </w:rPr>
        <w:t>21</w:t>
      </w:r>
      <w:r w:rsidR="00E156F2">
        <w:rPr>
          <w:b/>
        </w:rPr>
        <w:t xml:space="preserve"> </w:t>
      </w:r>
      <w:r w:rsidR="00A75ACD">
        <w:rPr>
          <w:b/>
        </w:rPr>
        <w:t>février</w:t>
      </w:r>
      <w:r w:rsidR="00E67445">
        <w:rPr>
          <w:b/>
        </w:rPr>
        <w:t xml:space="preserve"> 202</w:t>
      </w:r>
      <w:r w:rsidR="00545BA6">
        <w:rPr>
          <w:b/>
        </w:rPr>
        <w:t>4</w:t>
      </w:r>
    </w:p>
    <w:p w:rsidR="00FA2AA9" w:rsidRPr="00480478" w:rsidRDefault="00480478" w:rsidP="00480478">
      <w:pPr>
        <w:jc w:val="center"/>
        <w:rPr>
          <w:b/>
        </w:rPr>
      </w:pPr>
      <w:r w:rsidRPr="00480478">
        <w:rPr>
          <w:b/>
        </w:rPr>
        <w:t xml:space="preserve">Règles de fonctionnement de la procédure nationale de préinscription </w:t>
      </w:r>
      <w:proofErr w:type="spellStart"/>
      <w:r w:rsidRPr="00480478">
        <w:rPr>
          <w:b/>
        </w:rPr>
        <w:t>Parcoursup</w:t>
      </w:r>
      <w:proofErr w:type="spellEnd"/>
    </w:p>
    <w:p w:rsidR="00480478" w:rsidRDefault="00480478" w:rsidP="00480478"/>
    <w:p w:rsidR="00480478" w:rsidRDefault="00480478" w:rsidP="00480478">
      <w:pPr>
        <w:pStyle w:val="Titre1"/>
        <w:shd w:val="clear" w:color="auto" w:fill="FFFFFF"/>
        <w:spacing w:before="0" w:after="75"/>
        <w:rPr>
          <w:rFonts w:asciiTheme="minorHAnsi" w:hAnsiTheme="minorHAnsi" w:cstheme="minorHAnsi"/>
          <w:color w:val="auto"/>
          <w:sz w:val="22"/>
          <w:szCs w:val="22"/>
        </w:rPr>
      </w:pPr>
      <w:hyperlink r:id="rId10" w:history="1">
        <w:r w:rsidRPr="00480478">
          <w:rPr>
            <w:rStyle w:val="Lienhypertexte"/>
            <w:rFonts w:asciiTheme="minorHAnsi" w:hAnsiTheme="minorHAnsi" w:cstheme="minorHAnsi"/>
            <w:bCs/>
            <w:sz w:val="22"/>
            <w:szCs w:val="22"/>
          </w:rPr>
          <w:t>Décret n° 2024-85 du 6 février 2024</w:t>
        </w:r>
      </w:hyperlink>
      <w:r w:rsidRPr="00480478">
        <w:rPr>
          <w:rFonts w:asciiTheme="minorHAnsi" w:hAnsiTheme="minorHAnsi" w:cstheme="minorHAnsi"/>
          <w:bCs/>
          <w:color w:val="auto"/>
          <w:sz w:val="22"/>
          <w:szCs w:val="22"/>
        </w:rPr>
        <w:t xml:space="preserve"> relatif à la procédure nationale de préinscription pour l'accès aux formations initiales du premier cycle de l'enseignement supérieur</w:t>
      </w:r>
      <w:r>
        <w:rPr>
          <w:rFonts w:asciiTheme="minorHAnsi" w:hAnsiTheme="minorHAnsi" w:cstheme="minorHAnsi"/>
          <w:bCs/>
          <w:color w:val="auto"/>
          <w:sz w:val="22"/>
          <w:szCs w:val="22"/>
        </w:rPr>
        <w:t xml:space="preserve"> [PARCOURSUP]</w:t>
      </w:r>
      <w:r w:rsidRPr="00480478">
        <w:rPr>
          <w:rFonts w:asciiTheme="minorHAnsi" w:hAnsiTheme="minorHAnsi" w:cstheme="minorHAnsi"/>
          <w:bCs/>
          <w:color w:val="auto"/>
          <w:sz w:val="22"/>
          <w:szCs w:val="22"/>
        </w:rPr>
        <w:t xml:space="preserve"> et modifiant le code de l'éducation</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color w:val="auto"/>
          <w:sz w:val="22"/>
          <w:szCs w:val="22"/>
        </w:rPr>
        <w:t>Journal officiel du 7 février 2024</w:t>
      </w:r>
    </w:p>
    <w:p w:rsidR="00480478" w:rsidRPr="00480478" w:rsidRDefault="00480478" w:rsidP="00480478">
      <w:pPr>
        <w:rPr>
          <w:rFonts w:cstheme="minorHAnsi"/>
        </w:rPr>
      </w:pPr>
      <w:r>
        <w:br/>
      </w:r>
      <w:r w:rsidRPr="00480478">
        <w:rPr>
          <w:rFonts w:cstheme="minorHAnsi"/>
          <w:color w:val="000000"/>
          <w:shd w:val="clear" w:color="auto" w:fill="FFFFFF"/>
        </w:rPr>
        <w:t>E</w:t>
      </w:r>
      <w:r w:rsidRPr="00480478">
        <w:rPr>
          <w:rFonts w:cstheme="minorHAnsi"/>
          <w:color w:val="000000"/>
          <w:shd w:val="clear" w:color="auto" w:fill="FFFFFF"/>
        </w:rPr>
        <w:t xml:space="preserve">n premier lieu, le décret complète la liste des informations apportées sur la fiche formation </w:t>
      </w:r>
      <w:proofErr w:type="spellStart"/>
      <w:r w:rsidRPr="00480478">
        <w:rPr>
          <w:rFonts w:cstheme="minorHAnsi"/>
          <w:color w:val="000000"/>
          <w:shd w:val="clear" w:color="auto" w:fill="FFFFFF"/>
        </w:rPr>
        <w:t>Parcoursup</w:t>
      </w:r>
      <w:proofErr w:type="spellEnd"/>
      <w:r w:rsidRPr="00480478">
        <w:rPr>
          <w:rFonts w:cstheme="minorHAnsi"/>
          <w:color w:val="000000"/>
          <w:shd w:val="clear" w:color="auto" w:fill="FFFFFF"/>
        </w:rPr>
        <w:t xml:space="preserve"> au titre des caractéristiques des formations proposées sur la plateforme </w:t>
      </w:r>
      <w:proofErr w:type="spellStart"/>
      <w:r w:rsidRPr="00480478">
        <w:rPr>
          <w:rFonts w:cstheme="minorHAnsi"/>
          <w:color w:val="000000"/>
          <w:shd w:val="clear" w:color="auto" w:fill="FFFFFF"/>
        </w:rPr>
        <w:t>Parcoursup</w:t>
      </w:r>
      <w:proofErr w:type="spellEnd"/>
      <w:r w:rsidRPr="00480478">
        <w:rPr>
          <w:rFonts w:cstheme="minorHAnsi"/>
          <w:color w:val="000000"/>
          <w:shd w:val="clear" w:color="auto" w:fill="FFFFFF"/>
        </w:rPr>
        <w:t xml:space="preserve"> qui sont portées à la connaissance des candidats. En second lieu, il permet au ministre chargé de l'enseignement supérieur, pour assurer le bon déroulement de la procédure, de limiter, compte tenu des caractéristiques des formations et de leurs capacités d'accueil, le nombre de vœux et sous-vœux d'inscription dans certaines formations qui peuvent être formulés par le candidat dont les études en France sont soumises à l'obtention d'un visa et qui n'a pas obtenu ou ne prépare pas le baccalauréat français.</w:t>
      </w:r>
    </w:p>
    <w:p w:rsidR="00480478" w:rsidRPr="00480478" w:rsidRDefault="00480478" w:rsidP="00480478">
      <w:pPr>
        <w:pStyle w:val="NormalWeb"/>
        <w:shd w:val="clear" w:color="auto" w:fill="FFFFFF"/>
        <w:rPr>
          <w:rFonts w:asciiTheme="minorHAnsi" w:hAnsiTheme="minorHAnsi" w:cstheme="minorHAnsi"/>
          <w:color w:val="000000"/>
          <w:sz w:val="22"/>
          <w:szCs w:val="22"/>
        </w:rPr>
      </w:pPr>
      <w:r>
        <w:br/>
      </w:r>
      <w:hyperlink r:id="rId11" w:history="1">
        <w:r w:rsidRPr="00480478">
          <w:rPr>
            <w:rStyle w:val="Lienhypertexte"/>
            <w:rFonts w:asciiTheme="minorHAnsi" w:hAnsiTheme="minorHAnsi" w:cstheme="minorHAnsi"/>
            <w:bCs/>
            <w:sz w:val="22"/>
            <w:szCs w:val="22"/>
          </w:rPr>
          <w:t>Arrêté du 6 février 2024 modifiant l'arrêté du 28 février 2020</w:t>
        </w:r>
      </w:hyperlink>
      <w:r w:rsidRPr="00480478">
        <w:rPr>
          <w:rFonts w:asciiTheme="minorHAnsi" w:hAnsiTheme="minorHAnsi" w:cstheme="minorHAnsi"/>
          <w:bCs/>
          <w:sz w:val="22"/>
          <w:szCs w:val="22"/>
        </w:rPr>
        <w:t xml:space="preserve"> relatif à certaines règles de fonctionnement de la plateforme </w:t>
      </w:r>
      <w:proofErr w:type="spellStart"/>
      <w:r w:rsidRPr="00480478">
        <w:rPr>
          <w:rFonts w:asciiTheme="minorHAnsi" w:hAnsiTheme="minorHAnsi" w:cstheme="minorHAnsi"/>
          <w:bCs/>
          <w:sz w:val="22"/>
          <w:szCs w:val="22"/>
        </w:rPr>
        <w:t>Parcoursup</w:t>
      </w:r>
      <w:proofErr w:type="spellEnd"/>
      <w:r>
        <w:rPr>
          <w:rFonts w:asciiTheme="minorHAnsi" w:hAnsiTheme="minorHAnsi" w:cstheme="minorHAnsi"/>
          <w:bCs/>
          <w:sz w:val="22"/>
          <w:szCs w:val="22"/>
        </w:rPr>
        <w:br/>
      </w:r>
      <w:r>
        <w:rPr>
          <w:rFonts w:asciiTheme="minorHAnsi" w:hAnsiTheme="minorHAnsi" w:cstheme="minorHAnsi"/>
          <w:bCs/>
          <w:sz w:val="22"/>
          <w:szCs w:val="22"/>
        </w:rPr>
        <w:br/>
        <w:t>Journal officiel du 7 février 2024</w:t>
      </w:r>
      <w:r>
        <w:rPr>
          <w:rFonts w:asciiTheme="minorHAnsi" w:hAnsiTheme="minorHAnsi" w:cstheme="minorHAnsi"/>
          <w:bCs/>
          <w:sz w:val="22"/>
          <w:szCs w:val="22"/>
        </w:rPr>
        <w:br/>
      </w:r>
      <w:r>
        <w:rPr>
          <w:rFonts w:asciiTheme="minorHAnsi" w:hAnsiTheme="minorHAnsi" w:cstheme="minorHAnsi"/>
          <w:bCs/>
          <w:sz w:val="22"/>
          <w:szCs w:val="22"/>
        </w:rPr>
        <w:br/>
      </w:r>
      <w:r w:rsidRPr="00480478">
        <w:rPr>
          <w:rFonts w:asciiTheme="minorHAnsi" w:hAnsiTheme="minorHAnsi" w:cstheme="minorHAnsi"/>
          <w:color w:val="000000"/>
          <w:sz w:val="22"/>
          <w:szCs w:val="22"/>
        </w:rPr>
        <w:t>Après l'article 2 de l'arrêté du 28 février 2020 susvisé, il est inséré un article 2-1 ainsi rédigé :</w:t>
      </w:r>
    </w:p>
    <w:p w:rsidR="00480478" w:rsidRPr="00480478" w:rsidRDefault="00480478" w:rsidP="00480478">
      <w:pPr>
        <w:pStyle w:val="NormalWeb"/>
        <w:shd w:val="clear" w:color="auto" w:fill="FFFFFF"/>
        <w:rPr>
          <w:rFonts w:asciiTheme="minorHAnsi" w:hAnsiTheme="minorHAnsi" w:cstheme="minorHAnsi"/>
          <w:color w:val="000000"/>
          <w:sz w:val="22"/>
          <w:szCs w:val="22"/>
        </w:rPr>
      </w:pPr>
      <w:r w:rsidRPr="00480478">
        <w:rPr>
          <w:rFonts w:asciiTheme="minorHAnsi" w:hAnsiTheme="minorHAnsi" w:cstheme="minorHAnsi"/>
          <w:color w:val="000000"/>
          <w:sz w:val="22"/>
          <w:szCs w:val="22"/>
        </w:rPr>
        <w:t>« Art. 2-1. - Pour les candidats mentionnés à l'article D. 612-1-12 et au </w:t>
      </w:r>
      <w:hyperlink r:id="rId12" w:tooltip="Code de l" w:history="1">
        <w:r w:rsidRPr="00480478">
          <w:rPr>
            <w:rStyle w:val="Lienhypertexte"/>
            <w:rFonts w:asciiTheme="minorHAnsi" w:hAnsiTheme="minorHAnsi" w:cstheme="minorHAnsi"/>
            <w:color w:val="4A5E81"/>
            <w:sz w:val="22"/>
            <w:szCs w:val="22"/>
          </w:rPr>
          <w:t>deuxième alinéa de l'article D. 612-1-19 du code de l'éducation</w:t>
        </w:r>
      </w:hyperlink>
      <w:r w:rsidRPr="00480478">
        <w:rPr>
          <w:rFonts w:asciiTheme="minorHAnsi" w:hAnsiTheme="minorHAnsi" w:cstheme="minorHAnsi"/>
          <w:color w:val="000000"/>
          <w:sz w:val="22"/>
          <w:szCs w:val="22"/>
        </w:rPr>
        <w:t> :</w:t>
      </w:r>
      <w:r w:rsidRPr="00480478">
        <w:rPr>
          <w:rFonts w:asciiTheme="minorHAnsi" w:hAnsiTheme="minorHAnsi" w:cstheme="minorHAnsi"/>
          <w:color w:val="000000"/>
          <w:sz w:val="22"/>
          <w:szCs w:val="22"/>
        </w:rPr>
        <w:br/>
        <w:t>« 1° Le nombre de vœux d'inscription pour un établissement de formation donné est limité à trois dans les formations suivantes :</w:t>
      </w:r>
    </w:p>
    <w:p w:rsidR="00480478" w:rsidRDefault="00480478">
      <w:pPr>
        <w:spacing w:after="160" w:line="259" w:lineRule="auto"/>
        <w:rPr>
          <w:rFonts w:eastAsia="Times New Roman" w:cstheme="minorHAnsi"/>
          <w:color w:val="000000"/>
          <w:lang w:eastAsia="fr-FR"/>
        </w:rPr>
      </w:pPr>
      <w:r>
        <w:rPr>
          <w:rFonts w:cstheme="minorHAnsi"/>
          <w:color w:val="000000"/>
        </w:rPr>
        <w:br w:type="page"/>
      </w:r>
    </w:p>
    <w:p w:rsidR="00480478" w:rsidRPr="00480478" w:rsidRDefault="00480478" w:rsidP="00480478">
      <w:pPr>
        <w:pStyle w:val="NormalWeb"/>
        <w:shd w:val="clear" w:color="auto" w:fill="FFFFFF"/>
        <w:rPr>
          <w:rFonts w:asciiTheme="minorHAnsi" w:hAnsiTheme="minorHAnsi" w:cstheme="minorHAnsi"/>
          <w:color w:val="000000"/>
          <w:sz w:val="22"/>
          <w:szCs w:val="22"/>
        </w:rPr>
      </w:pPr>
      <w:r w:rsidRPr="00480478">
        <w:rPr>
          <w:rFonts w:asciiTheme="minorHAnsi" w:hAnsiTheme="minorHAnsi" w:cstheme="minorHAnsi"/>
          <w:color w:val="000000"/>
          <w:sz w:val="22"/>
          <w:szCs w:val="22"/>
        </w:rPr>
        <w:lastRenderedPageBreak/>
        <w:t>« - les formations préparant au diplôme de brevet de technicien supérieur, de brevet de technicien supérieur agricole, de brevet de technicien supérieur maritime ;</w:t>
      </w:r>
      <w:r w:rsidRPr="00480478">
        <w:rPr>
          <w:rFonts w:asciiTheme="minorHAnsi" w:hAnsiTheme="minorHAnsi" w:cstheme="minorHAnsi"/>
          <w:color w:val="000000"/>
          <w:sz w:val="22"/>
          <w:szCs w:val="22"/>
        </w:rPr>
        <w:br/>
        <w:t>« - les formations préparant au diplôme de comptabilité et de gestion conférant le grade de licence mentionnées à l'</w:t>
      </w:r>
      <w:hyperlink r:id="rId13" w:tooltip="Code de l" w:history="1">
        <w:r w:rsidRPr="00480478">
          <w:rPr>
            <w:rStyle w:val="Lienhypertexte"/>
            <w:rFonts w:asciiTheme="minorHAnsi" w:hAnsiTheme="minorHAnsi" w:cstheme="minorHAnsi"/>
            <w:color w:val="4A5E81"/>
            <w:sz w:val="22"/>
            <w:szCs w:val="22"/>
          </w:rPr>
          <w:t>article D. 612-32-2 du code de l'éducation</w:t>
        </w:r>
      </w:hyperlink>
      <w:r w:rsidRPr="00480478">
        <w:rPr>
          <w:rFonts w:asciiTheme="minorHAnsi" w:hAnsiTheme="minorHAnsi" w:cstheme="minorHAnsi"/>
          <w:color w:val="000000"/>
          <w:sz w:val="22"/>
          <w:szCs w:val="22"/>
        </w:rPr>
        <w:t> ;</w:t>
      </w:r>
      <w:r w:rsidRPr="00480478">
        <w:rPr>
          <w:rFonts w:asciiTheme="minorHAnsi" w:hAnsiTheme="minorHAnsi" w:cstheme="minorHAnsi"/>
          <w:color w:val="000000"/>
          <w:sz w:val="22"/>
          <w:szCs w:val="22"/>
        </w:rPr>
        <w:br/>
        <w:t>« - les formations de mise à niveau hôtellerie restauration ;</w:t>
      </w:r>
      <w:r w:rsidRPr="00480478">
        <w:rPr>
          <w:rFonts w:asciiTheme="minorHAnsi" w:hAnsiTheme="minorHAnsi" w:cstheme="minorHAnsi"/>
          <w:color w:val="000000"/>
          <w:sz w:val="22"/>
          <w:szCs w:val="22"/>
        </w:rPr>
        <w:br/>
        <w:t>« - les formations préparant aux diplômes propres aux établissements qui bénéficient d'un des labels mentionnés aux articles </w:t>
      </w:r>
      <w:hyperlink r:id="rId14" w:tooltip="Code de l" w:history="1">
        <w:r w:rsidRPr="00480478">
          <w:rPr>
            <w:rStyle w:val="Lienhypertexte"/>
            <w:rFonts w:asciiTheme="minorHAnsi" w:hAnsiTheme="minorHAnsi" w:cstheme="minorHAnsi"/>
            <w:color w:val="4A5E81"/>
            <w:sz w:val="22"/>
            <w:szCs w:val="22"/>
          </w:rPr>
          <w:t>D. 613-25-1</w:t>
        </w:r>
      </w:hyperlink>
      <w:r w:rsidRPr="00480478">
        <w:rPr>
          <w:rFonts w:asciiTheme="minorHAnsi" w:hAnsiTheme="minorHAnsi" w:cstheme="minorHAnsi"/>
          <w:color w:val="000000"/>
          <w:sz w:val="22"/>
          <w:szCs w:val="22"/>
        </w:rPr>
        <w:t> et </w:t>
      </w:r>
      <w:hyperlink r:id="rId15" w:tooltip="Code de l" w:history="1">
        <w:r w:rsidRPr="00480478">
          <w:rPr>
            <w:rStyle w:val="Lienhypertexte"/>
            <w:rFonts w:asciiTheme="minorHAnsi" w:hAnsiTheme="minorHAnsi" w:cstheme="minorHAnsi"/>
            <w:color w:val="4A5E81"/>
            <w:sz w:val="22"/>
            <w:szCs w:val="22"/>
          </w:rPr>
          <w:t>D. 613-25-2</w:t>
        </w:r>
      </w:hyperlink>
      <w:r w:rsidRPr="00480478">
        <w:rPr>
          <w:rFonts w:asciiTheme="minorHAnsi" w:hAnsiTheme="minorHAnsi" w:cstheme="minorHAnsi"/>
          <w:color w:val="000000"/>
          <w:sz w:val="22"/>
          <w:szCs w:val="22"/>
        </w:rPr>
        <w:t> du code de l'éducation ;</w:t>
      </w:r>
      <w:r w:rsidRPr="00480478">
        <w:rPr>
          <w:rFonts w:asciiTheme="minorHAnsi" w:hAnsiTheme="minorHAnsi" w:cstheme="minorHAnsi"/>
          <w:color w:val="000000"/>
          <w:sz w:val="22"/>
          <w:szCs w:val="22"/>
        </w:rPr>
        <w:br/>
        <w:t>« - les formations préparant au diplôme mentionné à l'</w:t>
      </w:r>
      <w:hyperlink r:id="rId16" w:tooltip="Code de l" w:history="1">
        <w:r w:rsidRPr="00480478">
          <w:rPr>
            <w:rStyle w:val="Lienhypertexte"/>
            <w:rFonts w:asciiTheme="minorHAnsi" w:hAnsiTheme="minorHAnsi" w:cstheme="minorHAnsi"/>
            <w:color w:val="4A5E81"/>
            <w:sz w:val="22"/>
            <w:szCs w:val="22"/>
          </w:rPr>
          <w:t>article D. 337-139 du code de l'éducation</w:t>
        </w:r>
      </w:hyperlink>
      <w:r w:rsidRPr="00480478">
        <w:rPr>
          <w:rFonts w:asciiTheme="minorHAnsi" w:hAnsiTheme="minorHAnsi" w:cstheme="minorHAnsi"/>
          <w:color w:val="000000"/>
          <w:sz w:val="22"/>
          <w:szCs w:val="22"/>
        </w:rPr>
        <w:t> ;</w:t>
      </w:r>
      <w:r w:rsidRPr="00480478">
        <w:rPr>
          <w:rFonts w:asciiTheme="minorHAnsi" w:hAnsiTheme="minorHAnsi" w:cstheme="minorHAnsi"/>
          <w:color w:val="000000"/>
          <w:sz w:val="22"/>
          <w:szCs w:val="22"/>
        </w:rPr>
        <w:br/>
        <w:t>« - les formations complémentaires d'initiative locale prévues par l'arrêté du 14 février 1985 susvisé ;</w:t>
      </w:r>
    </w:p>
    <w:p w:rsidR="00480478" w:rsidRPr="00480478" w:rsidRDefault="00480478" w:rsidP="00480478">
      <w:pPr>
        <w:pStyle w:val="NormalWeb"/>
        <w:shd w:val="clear" w:color="auto" w:fill="FFFFFF"/>
        <w:rPr>
          <w:rFonts w:asciiTheme="minorHAnsi" w:hAnsiTheme="minorHAnsi" w:cstheme="minorHAnsi"/>
          <w:color w:val="000000"/>
          <w:sz w:val="22"/>
          <w:szCs w:val="22"/>
        </w:rPr>
      </w:pPr>
      <w:bookmarkStart w:id="0" w:name="_GoBack"/>
      <w:bookmarkEnd w:id="0"/>
      <w:r w:rsidRPr="00480478">
        <w:rPr>
          <w:rFonts w:asciiTheme="minorHAnsi" w:hAnsiTheme="minorHAnsi" w:cstheme="minorHAnsi"/>
          <w:color w:val="000000"/>
          <w:sz w:val="22"/>
          <w:szCs w:val="22"/>
        </w:rPr>
        <w:t>« 2° Le nombre de vœux multiples à dossier unique portant sur les formations préparant au diplôme d'Etat d'infirmier est limité à trois. Le nombre de sous-vœux qui peuvent être formulés pour chaque vœu multiple à dossier unique portant sur ces formations est également limité à trois. »</w:t>
      </w:r>
    </w:p>
    <w:p w:rsidR="00480478" w:rsidRPr="00480478" w:rsidRDefault="00480478" w:rsidP="00480478">
      <w:pPr>
        <w:pStyle w:val="Titre1"/>
        <w:shd w:val="clear" w:color="auto" w:fill="FFFFFF"/>
        <w:spacing w:before="0" w:after="75"/>
        <w:rPr>
          <w:rFonts w:asciiTheme="minorHAnsi" w:hAnsiTheme="minorHAnsi" w:cstheme="minorHAnsi"/>
          <w:color w:val="auto"/>
          <w:sz w:val="22"/>
          <w:szCs w:val="22"/>
        </w:rPr>
      </w:pPr>
    </w:p>
    <w:p w:rsidR="00480478" w:rsidRDefault="00480478" w:rsidP="00480478"/>
    <w:sectPr w:rsidR="0048047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AA6" w:rsidRDefault="00744AA6" w:rsidP="00943B28">
      <w:pPr>
        <w:spacing w:after="0" w:line="240" w:lineRule="auto"/>
      </w:pPr>
      <w:r>
        <w:separator/>
      </w:r>
    </w:p>
  </w:endnote>
  <w:endnote w:type="continuationSeparator" w:id="0">
    <w:p w:rsidR="00744AA6" w:rsidRDefault="00744AA6"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480478">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AA6" w:rsidRDefault="00744AA6" w:rsidP="00943B28">
      <w:pPr>
        <w:spacing w:after="0" w:line="240" w:lineRule="auto"/>
      </w:pPr>
      <w:r>
        <w:separator/>
      </w:r>
    </w:p>
  </w:footnote>
  <w:footnote w:type="continuationSeparator" w:id="0">
    <w:p w:rsidR="00744AA6" w:rsidRDefault="00744AA6"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25"/>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2"/>
  </w:num>
  <w:num w:numId="18">
    <w:abstractNumId w:val="1"/>
  </w:num>
  <w:num w:numId="19">
    <w:abstractNumId w:val="11"/>
  </w:num>
  <w:num w:numId="20">
    <w:abstractNumId w:val="24"/>
  </w:num>
  <w:num w:numId="21">
    <w:abstractNumId w:val="14"/>
  </w:num>
  <w:num w:numId="22">
    <w:abstractNumId w:val="21"/>
  </w:num>
  <w:num w:numId="23">
    <w:abstractNumId w:val="4"/>
  </w:num>
  <w:num w:numId="24">
    <w:abstractNumId w:val="1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61C22"/>
    <w:rsid w:val="00373AF6"/>
    <w:rsid w:val="00376092"/>
    <w:rsid w:val="003805B2"/>
    <w:rsid w:val="00381724"/>
    <w:rsid w:val="00386267"/>
    <w:rsid w:val="00391D5E"/>
    <w:rsid w:val="00397479"/>
    <w:rsid w:val="003A05EC"/>
    <w:rsid w:val="003B2C9F"/>
    <w:rsid w:val="003B5B63"/>
    <w:rsid w:val="003C12BD"/>
    <w:rsid w:val="003F3CE4"/>
    <w:rsid w:val="004115A4"/>
    <w:rsid w:val="00411EF4"/>
    <w:rsid w:val="00426574"/>
    <w:rsid w:val="00430648"/>
    <w:rsid w:val="004440D3"/>
    <w:rsid w:val="00445921"/>
    <w:rsid w:val="00447CCA"/>
    <w:rsid w:val="00460340"/>
    <w:rsid w:val="00461FF0"/>
    <w:rsid w:val="00463496"/>
    <w:rsid w:val="00467419"/>
    <w:rsid w:val="00474371"/>
    <w:rsid w:val="00480478"/>
    <w:rsid w:val="0049467C"/>
    <w:rsid w:val="004A4860"/>
    <w:rsid w:val="004B2B29"/>
    <w:rsid w:val="004B7585"/>
    <w:rsid w:val="004D0004"/>
    <w:rsid w:val="004D008F"/>
    <w:rsid w:val="004E4229"/>
    <w:rsid w:val="004F13E7"/>
    <w:rsid w:val="0052310B"/>
    <w:rsid w:val="00545BA6"/>
    <w:rsid w:val="00546A8C"/>
    <w:rsid w:val="00571076"/>
    <w:rsid w:val="0058346F"/>
    <w:rsid w:val="005A246C"/>
    <w:rsid w:val="005B2429"/>
    <w:rsid w:val="005C1B48"/>
    <w:rsid w:val="005C2D73"/>
    <w:rsid w:val="005C4276"/>
    <w:rsid w:val="005F3C35"/>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6C2A"/>
    <w:rsid w:val="006C6087"/>
    <w:rsid w:val="006E0B62"/>
    <w:rsid w:val="006F4CC4"/>
    <w:rsid w:val="00701690"/>
    <w:rsid w:val="00712E7A"/>
    <w:rsid w:val="00713A6A"/>
    <w:rsid w:val="00714C03"/>
    <w:rsid w:val="0072010E"/>
    <w:rsid w:val="0072136B"/>
    <w:rsid w:val="0072717D"/>
    <w:rsid w:val="00736A4A"/>
    <w:rsid w:val="00741511"/>
    <w:rsid w:val="00744AA6"/>
    <w:rsid w:val="00751F78"/>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B3B29"/>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51E3"/>
    <w:rsid w:val="009C7C84"/>
    <w:rsid w:val="009D45A0"/>
    <w:rsid w:val="009D481B"/>
    <w:rsid w:val="009E14B0"/>
    <w:rsid w:val="009E6DB7"/>
    <w:rsid w:val="009F0AD0"/>
    <w:rsid w:val="00A0075B"/>
    <w:rsid w:val="00A07A83"/>
    <w:rsid w:val="00A304F7"/>
    <w:rsid w:val="00A63ABC"/>
    <w:rsid w:val="00A64284"/>
    <w:rsid w:val="00A75ACD"/>
    <w:rsid w:val="00A76E4C"/>
    <w:rsid w:val="00A91312"/>
    <w:rsid w:val="00A942F3"/>
    <w:rsid w:val="00AB1661"/>
    <w:rsid w:val="00AB521C"/>
    <w:rsid w:val="00AB6042"/>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83245"/>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45C3F"/>
    <w:rsid w:val="00C46DD3"/>
    <w:rsid w:val="00C55DC0"/>
    <w:rsid w:val="00C67733"/>
    <w:rsid w:val="00C71A8D"/>
    <w:rsid w:val="00C74FA2"/>
    <w:rsid w:val="00C76C36"/>
    <w:rsid w:val="00CA4D6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6AF"/>
    <w:rsid w:val="00DD283F"/>
    <w:rsid w:val="00DE36D5"/>
    <w:rsid w:val="00DE3C80"/>
    <w:rsid w:val="00DE67F1"/>
    <w:rsid w:val="00DF0284"/>
    <w:rsid w:val="00DF3DB1"/>
    <w:rsid w:val="00E03B9D"/>
    <w:rsid w:val="00E06030"/>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6302F"/>
    <w:rsid w:val="00F65FD2"/>
    <w:rsid w:val="00F953B5"/>
    <w:rsid w:val="00FA2AA9"/>
    <w:rsid w:val="00FA3425"/>
    <w:rsid w:val="00FA5381"/>
    <w:rsid w:val="00FC11B3"/>
    <w:rsid w:val="00FE1A71"/>
    <w:rsid w:val="00FE51E5"/>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8F"/>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1191&amp;idArticle=LEGIARTI000031200289&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1191&amp;idArticle=LEGIARTI000036695461&amp;dateTexte=&amp;categorieLien=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1191&amp;idArticle=LEGIARTI000006526918&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9097849"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1191&amp;idArticle=LEGIARTI000042447096&amp;dateTexte=&amp;categorieLien=cid" TargetMode="External"/><Relationship Id="rId10" Type="http://schemas.openxmlformats.org/officeDocument/2006/relationships/hyperlink" Target="https://www.legifrance.gouv.fr/jorf/id/JORFTEXT0000490978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Article.do?cidTexte=LEGITEXT000006071191&amp;idArticle=LEGIARTI00004244709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EC12-3D73-4EAB-9365-2AA4A5F7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278</cp:revision>
  <dcterms:created xsi:type="dcterms:W3CDTF">2021-03-23T13:03:00Z</dcterms:created>
  <dcterms:modified xsi:type="dcterms:W3CDTF">2024-02-07T08:10:00Z</dcterms:modified>
</cp:coreProperties>
</file>