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F17271">
        <w:rPr>
          <w:b/>
        </w:rPr>
        <w:t>2</w:t>
      </w:r>
      <w:r w:rsidR="003A05EC">
        <w:rPr>
          <w:b/>
        </w:rPr>
        <w:t xml:space="preserve"> du </w:t>
      </w:r>
      <w:r w:rsidR="00F17271">
        <w:rPr>
          <w:b/>
        </w:rPr>
        <w:t>29</w:t>
      </w:r>
      <w:r w:rsidR="00A97284">
        <w:rPr>
          <w:b/>
        </w:rPr>
        <w:t xml:space="preserve"> mai</w:t>
      </w:r>
      <w:r w:rsidR="00E67445">
        <w:rPr>
          <w:b/>
        </w:rPr>
        <w:t xml:space="preserve"> 202</w:t>
      </w:r>
      <w:r w:rsidR="00545BA6">
        <w:rPr>
          <w:b/>
        </w:rPr>
        <w:t>4</w:t>
      </w:r>
    </w:p>
    <w:p w:rsidR="008756B1" w:rsidRDefault="0062201E" w:rsidP="0017700D">
      <w:pPr>
        <w:jc w:val="center"/>
        <w:rPr>
          <w:rFonts w:cstheme="minorHAnsi"/>
          <w:b/>
        </w:rPr>
      </w:pPr>
      <w:r>
        <w:rPr>
          <w:rFonts w:cstheme="minorHAnsi"/>
          <w:b/>
        </w:rPr>
        <w:t>Sp</w:t>
      </w:r>
      <w:r w:rsidR="00F17271">
        <w:rPr>
          <w:rFonts w:cstheme="minorHAnsi"/>
          <w:b/>
        </w:rPr>
        <w:t xml:space="preserve">ort : 1 décret et </w:t>
      </w:r>
      <w:r>
        <w:rPr>
          <w:rFonts w:cstheme="minorHAnsi"/>
          <w:b/>
        </w:rPr>
        <w:t>2</w:t>
      </w:r>
      <w:r w:rsidR="00F17271">
        <w:rPr>
          <w:rFonts w:cstheme="minorHAnsi"/>
          <w:b/>
        </w:rPr>
        <w:t xml:space="preserve"> arrêté</w:t>
      </w:r>
      <w:r>
        <w:rPr>
          <w:rFonts w:cstheme="minorHAnsi"/>
          <w:b/>
        </w:rPr>
        <w:t>s</w:t>
      </w:r>
    </w:p>
    <w:p w:rsidR="00F17271" w:rsidRDefault="00F17271" w:rsidP="00F17271">
      <w:pPr>
        <w:rPr>
          <w:rFonts w:cstheme="minorHAnsi"/>
          <w:b/>
        </w:rPr>
      </w:pPr>
    </w:p>
    <w:p w:rsidR="00F17271" w:rsidRDefault="00F17271" w:rsidP="00F17271">
      <w:pPr>
        <w:pStyle w:val="Titre1"/>
        <w:shd w:val="clear" w:color="auto" w:fill="FFFFFF"/>
        <w:spacing w:before="0" w:after="75"/>
        <w:rPr>
          <w:rFonts w:asciiTheme="minorHAnsi" w:hAnsiTheme="minorHAnsi" w:cstheme="minorHAnsi"/>
          <w:color w:val="000000"/>
          <w:sz w:val="22"/>
          <w:szCs w:val="22"/>
          <w:shd w:val="clear" w:color="auto" w:fill="FFFFFF"/>
        </w:rPr>
      </w:pPr>
      <w:hyperlink r:id="rId10" w:history="1">
        <w:r w:rsidRPr="00F17271">
          <w:rPr>
            <w:rStyle w:val="Lienhypertexte"/>
            <w:rFonts w:asciiTheme="minorHAnsi" w:hAnsiTheme="minorHAnsi" w:cstheme="minorHAnsi"/>
            <w:bCs/>
            <w:sz w:val="22"/>
            <w:szCs w:val="22"/>
          </w:rPr>
          <w:t>Décret n° 2024-427 du 10 mai 2024</w:t>
        </w:r>
      </w:hyperlink>
      <w:r w:rsidRPr="00F17271">
        <w:rPr>
          <w:rFonts w:asciiTheme="minorHAnsi" w:hAnsiTheme="minorHAnsi" w:cstheme="minorHAnsi"/>
          <w:bCs/>
          <w:color w:val="auto"/>
          <w:sz w:val="22"/>
          <w:szCs w:val="22"/>
        </w:rPr>
        <w:t xml:space="preserve"> actualisant des dispositions générales et communes relatives aux certificat professionnel, brevet professionnel, diplôme d'Etat et diplôme d'Etat supérieur de la jeunesse, de l'éducation populaire et du sport et à leurs certificats complémentaires</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12 mai 2024</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F17271">
        <w:rPr>
          <w:rFonts w:asciiTheme="minorHAnsi" w:hAnsiTheme="minorHAnsi" w:cstheme="minorHAnsi"/>
          <w:color w:val="000000"/>
          <w:sz w:val="22"/>
          <w:szCs w:val="22"/>
          <w:shd w:val="clear" w:color="auto" w:fill="FFFFFF"/>
        </w:rPr>
        <w:t>Le décret a pour objet d'actualiser les dispositions communes aux procédures de tous les diplômes (CPJEPS, BPJEPS, DEJEPS et DESJEPS et certificats complémentaires) intervenant dans le champ de l'animation et du sport afin, d'une part, de définir des modalités adaptées de mobilité à l'étranger pour les stagiaires en formation. D'autre part, une modalité complémentaire d'habilitation est ouverte, sous certaines conditions, lorsqu'un diplôme ou un certificat complémentaire a été abrogé et remplacé.</w:t>
      </w:r>
    </w:p>
    <w:p w:rsidR="00F17271" w:rsidRDefault="00F17271" w:rsidP="00F17271"/>
    <w:bookmarkStart w:id="0" w:name="_GoBack"/>
    <w:bookmarkEnd w:id="0"/>
    <w:p w:rsidR="00F17271" w:rsidRPr="00F17271" w:rsidRDefault="008745B3" w:rsidP="00F17271">
      <w:pPr>
        <w:pStyle w:val="Titre1"/>
        <w:shd w:val="clear" w:color="auto" w:fill="FFFFFF"/>
        <w:spacing w:before="0" w:after="75"/>
        <w:rPr>
          <w:rFonts w:asciiTheme="minorHAnsi" w:hAnsiTheme="minorHAnsi" w:cstheme="minorHAnsi"/>
          <w:color w:val="auto"/>
          <w:sz w:val="22"/>
          <w:szCs w:val="22"/>
        </w:rPr>
      </w:pPr>
      <w:r>
        <w:fldChar w:fldCharType="begin"/>
      </w:r>
      <w:r>
        <w:instrText xml:space="preserve"> HYPERLINK "https://www.legifrance.gouv.fr/jorf/id/JORFTEXT000049525944" </w:instrText>
      </w:r>
      <w:r>
        <w:fldChar w:fldCharType="separate"/>
      </w:r>
      <w:r w:rsidR="00F17271" w:rsidRPr="00F17271">
        <w:rPr>
          <w:rStyle w:val="Lienhypertexte"/>
          <w:rFonts w:asciiTheme="minorHAnsi" w:hAnsiTheme="minorHAnsi" w:cstheme="minorHAnsi"/>
          <w:bCs/>
          <w:sz w:val="22"/>
          <w:szCs w:val="22"/>
        </w:rPr>
        <w:t>Arrêté du 10 mai 2024</w:t>
      </w:r>
      <w:r>
        <w:rPr>
          <w:rStyle w:val="Lienhypertexte"/>
          <w:rFonts w:asciiTheme="minorHAnsi" w:hAnsiTheme="minorHAnsi" w:cstheme="minorHAnsi"/>
          <w:bCs/>
          <w:sz w:val="22"/>
          <w:szCs w:val="22"/>
        </w:rPr>
        <w:fldChar w:fldCharType="end"/>
      </w:r>
      <w:r w:rsidR="00F17271" w:rsidRPr="00F17271">
        <w:rPr>
          <w:rFonts w:asciiTheme="minorHAnsi" w:hAnsiTheme="minorHAnsi" w:cstheme="minorHAnsi"/>
          <w:bCs/>
          <w:color w:val="auto"/>
          <w:sz w:val="22"/>
          <w:szCs w:val="22"/>
        </w:rPr>
        <w:t xml:space="preserve"> actualisant des dispositions générales et communes relatives aux certificat professionnel, brevet professionnel, diplôme d'Etat et diplôme d'Etat supérieur de la jeunesse, de l'éducation populaire et du sport et à leurs certificats complémentaires</w:t>
      </w:r>
    </w:p>
    <w:p w:rsidR="00F17271" w:rsidRPr="00F17271" w:rsidRDefault="00F17271" w:rsidP="00F17271">
      <w:pPr>
        <w:pStyle w:val="name-article"/>
        <w:shd w:val="clear" w:color="auto" w:fill="FFFFFF"/>
        <w:spacing w:before="0" w:beforeAutospacing="0" w:after="240" w:afterAutospacing="0"/>
        <w:rPr>
          <w:rFonts w:asciiTheme="minorHAnsi" w:hAnsiTheme="minorHAnsi" w:cstheme="minorHAnsi"/>
          <w:b/>
          <w:bCs/>
          <w:sz w:val="22"/>
          <w:szCs w:val="22"/>
        </w:rPr>
      </w:pPr>
      <w:r>
        <w:rPr>
          <w:rFonts w:asciiTheme="minorHAnsi" w:hAnsiTheme="minorHAnsi" w:cstheme="minorHAnsi"/>
          <w:bCs/>
          <w:sz w:val="22"/>
          <w:szCs w:val="22"/>
        </w:rPr>
        <w:t>Journal officiel du 12 mai 2024</w:t>
      </w:r>
      <w:r>
        <w:rPr>
          <w:rFonts w:cstheme="minorHAnsi"/>
          <w:bCs/>
        </w:rPr>
        <w:br/>
      </w:r>
      <w:r>
        <w:rPr>
          <w:rFonts w:cstheme="minorHAnsi"/>
          <w:bCs/>
        </w:rPr>
        <w:br/>
      </w:r>
      <w:hyperlink r:id="rId11" w:history="1">
        <w:r w:rsidRPr="00F17271">
          <w:rPr>
            <w:rStyle w:val="Lienhypertexte"/>
            <w:rFonts w:asciiTheme="minorHAnsi" w:hAnsiTheme="minorHAnsi" w:cstheme="minorHAnsi"/>
            <w:b/>
            <w:bCs/>
            <w:color w:val="auto"/>
            <w:sz w:val="22"/>
            <w:szCs w:val="22"/>
          </w:rPr>
          <w:t>Article 1</w:t>
        </w:r>
      </w:hyperlink>
    </w:p>
    <w:p w:rsidR="00F17271" w:rsidRDefault="00F17271" w:rsidP="00F17271">
      <w:pPr>
        <w:pStyle w:val="name-article"/>
        <w:shd w:val="clear" w:color="auto" w:fill="FFFFFF"/>
        <w:spacing w:before="0" w:beforeAutospacing="0" w:after="240" w:afterAutospacing="0"/>
        <w:rPr>
          <w:rFonts w:asciiTheme="minorHAnsi" w:hAnsiTheme="minorHAnsi" w:cstheme="minorHAnsi"/>
          <w:color w:val="000000"/>
          <w:sz w:val="22"/>
          <w:szCs w:val="22"/>
        </w:rPr>
      </w:pPr>
      <w:r w:rsidRPr="00F17271">
        <w:rPr>
          <w:rFonts w:asciiTheme="minorHAnsi" w:hAnsiTheme="minorHAnsi" w:cstheme="minorHAnsi"/>
          <w:color w:val="000000"/>
          <w:sz w:val="22"/>
          <w:szCs w:val="22"/>
        </w:rPr>
        <w:t>A l'</w:t>
      </w:r>
      <w:hyperlink r:id="rId12" w:history="1">
        <w:r w:rsidRPr="0090002E">
          <w:rPr>
            <w:rStyle w:val="Lienhypertexte"/>
            <w:rFonts w:asciiTheme="minorHAnsi" w:hAnsiTheme="minorHAnsi" w:cstheme="minorHAnsi"/>
            <w:sz w:val="22"/>
            <w:szCs w:val="22"/>
          </w:rPr>
          <w:t>article A. 212-34 du code du sport</w:t>
        </w:r>
      </w:hyperlink>
      <w:r w:rsidRPr="00F17271">
        <w:rPr>
          <w:rFonts w:asciiTheme="minorHAnsi" w:hAnsiTheme="minorHAnsi" w:cstheme="minorHAnsi"/>
          <w:color w:val="000000"/>
          <w:sz w:val="22"/>
          <w:szCs w:val="22"/>
        </w:rPr>
        <w:t>, après les mots : « à l'article R. 212-10-14 », sont insérés les mots : « ou à la demande d'habilitation prévue à l'article R. 212-10-14-1 ».</w:t>
      </w:r>
    </w:p>
    <w:p w:rsidR="00F17271" w:rsidRDefault="00F17271">
      <w:pPr>
        <w:spacing w:after="160" w:line="259" w:lineRule="auto"/>
        <w:rPr>
          <w:rFonts w:eastAsia="Times New Roman" w:cstheme="minorHAnsi"/>
          <w:color w:val="000000"/>
          <w:lang w:eastAsia="fr-FR"/>
        </w:rPr>
      </w:pPr>
      <w:r>
        <w:rPr>
          <w:rFonts w:cstheme="minorHAnsi"/>
          <w:color w:val="000000"/>
        </w:rPr>
        <w:br w:type="page"/>
      </w:r>
    </w:p>
    <w:p w:rsidR="00F17271" w:rsidRPr="00F17271" w:rsidRDefault="008745B3" w:rsidP="00F17271">
      <w:pPr>
        <w:pStyle w:val="name-article"/>
        <w:shd w:val="clear" w:color="auto" w:fill="FFFFFF"/>
        <w:spacing w:before="0" w:beforeAutospacing="0" w:after="240" w:afterAutospacing="0"/>
        <w:rPr>
          <w:rFonts w:asciiTheme="minorHAnsi" w:hAnsiTheme="minorHAnsi" w:cstheme="minorHAnsi"/>
          <w:b/>
          <w:bCs/>
          <w:sz w:val="22"/>
          <w:szCs w:val="22"/>
        </w:rPr>
      </w:pPr>
      <w:hyperlink r:id="rId13" w:history="1">
        <w:r w:rsidR="00F17271" w:rsidRPr="00F17271">
          <w:rPr>
            <w:rStyle w:val="Lienhypertexte"/>
            <w:rFonts w:asciiTheme="minorHAnsi" w:hAnsiTheme="minorHAnsi" w:cstheme="minorHAnsi"/>
            <w:b/>
            <w:bCs/>
            <w:color w:val="auto"/>
            <w:sz w:val="22"/>
            <w:szCs w:val="22"/>
          </w:rPr>
          <w:t>Article 2</w:t>
        </w:r>
      </w:hyperlink>
    </w:p>
    <w:p w:rsidR="00F17271" w:rsidRPr="00F17271" w:rsidRDefault="00F17271" w:rsidP="00F17271">
      <w:pPr>
        <w:pStyle w:val="NormalWeb"/>
        <w:shd w:val="clear" w:color="auto" w:fill="FFFFFF"/>
        <w:rPr>
          <w:rFonts w:asciiTheme="minorHAnsi" w:hAnsiTheme="minorHAnsi" w:cstheme="minorHAnsi"/>
          <w:color w:val="000000"/>
          <w:sz w:val="22"/>
          <w:szCs w:val="22"/>
        </w:rPr>
      </w:pPr>
      <w:r w:rsidRPr="00F17271">
        <w:rPr>
          <w:rFonts w:asciiTheme="minorHAnsi" w:hAnsiTheme="minorHAnsi" w:cstheme="minorHAnsi"/>
          <w:color w:val="000000"/>
          <w:sz w:val="22"/>
          <w:szCs w:val="22"/>
        </w:rPr>
        <w:t>Le dernier alinéa de l'</w:t>
      </w:r>
      <w:hyperlink r:id="rId14" w:history="1">
        <w:r w:rsidRPr="0090002E">
          <w:rPr>
            <w:rStyle w:val="Lienhypertexte"/>
            <w:rFonts w:asciiTheme="minorHAnsi" w:hAnsiTheme="minorHAnsi" w:cstheme="minorHAnsi"/>
            <w:sz w:val="22"/>
            <w:szCs w:val="22"/>
          </w:rPr>
          <w:t>article A. 212-34-2 du même code </w:t>
        </w:r>
      </w:hyperlink>
      <w:r w:rsidRPr="00F17271">
        <w:rPr>
          <w:rFonts w:asciiTheme="minorHAnsi" w:hAnsiTheme="minorHAnsi" w:cstheme="minorHAnsi"/>
          <w:color w:val="000000"/>
          <w:sz w:val="22"/>
          <w:szCs w:val="22"/>
        </w:rPr>
        <w:t>est remplacé par les dispositions suivantes :</w:t>
      </w:r>
      <w:r w:rsidRPr="00F17271">
        <w:rPr>
          <w:rFonts w:asciiTheme="minorHAnsi" w:hAnsiTheme="minorHAnsi" w:cstheme="minorHAnsi"/>
          <w:color w:val="000000"/>
          <w:sz w:val="22"/>
          <w:szCs w:val="22"/>
        </w:rPr>
        <w:br/>
        <w:t>« Pour l'exercice de cette mission et en accord avec le directeur académique des services de l'éducation nationale, le recteur de région académique peut solliciter le concours des personnels et des moyens du service départemental à la jeunesse, à l'engagement et aux sports de la direction des services départementaux de l'éducation nationale au titre des personnes mentionnées au 1° de l'article R. 6251-1 du même code. »</w:t>
      </w:r>
    </w:p>
    <w:p w:rsidR="0062201E" w:rsidRPr="0062201E" w:rsidRDefault="0062201E" w:rsidP="0062201E">
      <w:pPr>
        <w:pStyle w:val="Titre1"/>
        <w:shd w:val="clear" w:color="auto" w:fill="FFFFFF"/>
        <w:spacing w:before="0" w:after="75"/>
        <w:rPr>
          <w:rFonts w:asciiTheme="minorHAnsi" w:hAnsiTheme="minorHAnsi" w:cstheme="minorHAnsi"/>
          <w:color w:val="auto"/>
          <w:sz w:val="22"/>
          <w:szCs w:val="22"/>
        </w:rPr>
      </w:pPr>
      <w:r>
        <w:br/>
      </w:r>
      <w:hyperlink r:id="rId15" w:history="1">
        <w:r w:rsidRPr="0062201E">
          <w:rPr>
            <w:rStyle w:val="Lienhypertexte"/>
            <w:rFonts w:asciiTheme="minorHAnsi" w:hAnsiTheme="minorHAnsi" w:cstheme="minorHAnsi"/>
            <w:bCs/>
            <w:sz w:val="22"/>
            <w:szCs w:val="22"/>
          </w:rPr>
          <w:t>Arrêté du 17 mai 2024</w:t>
        </w:r>
      </w:hyperlink>
      <w:r w:rsidRPr="0062201E">
        <w:rPr>
          <w:rFonts w:asciiTheme="minorHAnsi" w:hAnsiTheme="minorHAnsi" w:cstheme="minorHAnsi"/>
          <w:bCs/>
          <w:color w:val="auto"/>
          <w:sz w:val="22"/>
          <w:szCs w:val="22"/>
        </w:rPr>
        <w:t xml:space="preserve"> relatif à l'expérimentation d'une signalisation de jalonnement piéton et cycliste pour les jeux Olympiques et Paralympiques de 2024</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23 mai 2024</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62201E">
        <w:rPr>
          <w:rFonts w:asciiTheme="minorHAnsi" w:hAnsiTheme="minorHAnsi" w:cstheme="minorHAnsi"/>
          <w:color w:val="000000"/>
          <w:sz w:val="22"/>
          <w:szCs w:val="22"/>
          <w:shd w:val="clear" w:color="auto" w:fill="FFFFFF"/>
        </w:rPr>
        <w:t>E</w:t>
      </w:r>
      <w:r w:rsidRPr="0062201E">
        <w:rPr>
          <w:rFonts w:asciiTheme="minorHAnsi" w:hAnsiTheme="minorHAnsi" w:cstheme="minorHAnsi"/>
          <w:color w:val="000000"/>
          <w:sz w:val="22"/>
          <w:szCs w:val="22"/>
          <w:shd w:val="clear" w:color="auto" w:fill="FFFFFF"/>
        </w:rPr>
        <w:t>n raison des affluences exceptionnellement élevées attendues à l'occasion des jeux Olympiques et Paralympiques de Paris 2024, une signalisation routière événementielle est mise en place dans les villes accueillant les sites Olympiques et Paralympiques et leur proche secteur, ainsi que sur le réseau cyclable olympique. Cette signalisation est mise en place jusqu'au 31 octobre 2024 inclus.</w:t>
      </w:r>
      <w:r w:rsidRPr="0062201E">
        <w:rPr>
          <w:rFonts w:asciiTheme="minorHAnsi" w:hAnsiTheme="minorHAnsi" w:cstheme="minorHAnsi"/>
          <w:color w:val="000000"/>
          <w:sz w:val="22"/>
          <w:szCs w:val="22"/>
        </w:rPr>
        <w:br/>
      </w:r>
      <w:r w:rsidRPr="0062201E">
        <w:rPr>
          <w:rFonts w:asciiTheme="minorHAnsi" w:hAnsiTheme="minorHAnsi" w:cstheme="minorHAnsi"/>
          <w:color w:val="000000"/>
          <w:sz w:val="22"/>
          <w:szCs w:val="22"/>
          <w:shd w:val="clear" w:color="auto" w:fill="FFFFFF"/>
        </w:rPr>
        <w:t>L'objet de cette signalisation est d'une part, de jalonner la circulation des cyclistes sur le réseau cyclable olympique, et d'autre part de faciliter le guidage des piétons, pour se rendre sur les sites Olympiques et Paralympiques, ou en revenir.</w:t>
      </w:r>
    </w:p>
    <w:p w:rsidR="00F17271" w:rsidRPr="00F17271" w:rsidRDefault="00F17271" w:rsidP="00F17271"/>
    <w:p w:rsidR="00F17271" w:rsidRDefault="00F17271" w:rsidP="00F17271">
      <w:pPr>
        <w:rPr>
          <w:rFonts w:cstheme="minorHAnsi"/>
          <w:b/>
        </w:rPr>
      </w:pPr>
    </w:p>
    <w:sectPr w:rsidR="00F1727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B3" w:rsidRDefault="008745B3" w:rsidP="00943B28">
      <w:pPr>
        <w:spacing w:after="0" w:line="240" w:lineRule="auto"/>
      </w:pPr>
      <w:r>
        <w:separator/>
      </w:r>
    </w:p>
  </w:endnote>
  <w:endnote w:type="continuationSeparator" w:id="0">
    <w:p w:rsidR="008745B3" w:rsidRDefault="008745B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62201E">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B3" w:rsidRDefault="008745B3" w:rsidP="00943B28">
      <w:pPr>
        <w:spacing w:after="0" w:line="240" w:lineRule="auto"/>
      </w:pPr>
      <w:r>
        <w:separator/>
      </w:r>
    </w:p>
  </w:footnote>
  <w:footnote w:type="continuationSeparator" w:id="0">
    <w:p w:rsidR="008745B3" w:rsidRDefault="008745B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29"/>
  </w:num>
  <w:num w:numId="4">
    <w:abstractNumId w:val="11"/>
  </w:num>
  <w:num w:numId="5">
    <w:abstractNumId w:val="0"/>
  </w:num>
  <w:num w:numId="6">
    <w:abstractNumId w:val="9"/>
  </w:num>
  <w:num w:numId="7">
    <w:abstractNumId w:val="3"/>
  </w:num>
  <w:num w:numId="8">
    <w:abstractNumId w:val="14"/>
  </w:num>
  <w:num w:numId="9">
    <w:abstractNumId w:val="18"/>
  </w:num>
  <w:num w:numId="10">
    <w:abstractNumId w:val="17"/>
  </w:num>
  <w:num w:numId="11">
    <w:abstractNumId w:val="6"/>
  </w:num>
  <w:num w:numId="12">
    <w:abstractNumId w:val="8"/>
  </w:num>
  <w:num w:numId="13">
    <w:abstractNumId w:val="7"/>
  </w:num>
  <w:num w:numId="14">
    <w:abstractNumId w:val="10"/>
  </w:num>
  <w:num w:numId="15">
    <w:abstractNumId w:val="2"/>
  </w:num>
  <w:num w:numId="16">
    <w:abstractNumId w:val="16"/>
  </w:num>
  <w:num w:numId="17">
    <w:abstractNumId w:val="26"/>
  </w:num>
  <w:num w:numId="18">
    <w:abstractNumId w:val="1"/>
  </w:num>
  <w:num w:numId="19">
    <w:abstractNumId w:val="12"/>
  </w:num>
  <w:num w:numId="20">
    <w:abstractNumId w:val="28"/>
  </w:num>
  <w:num w:numId="21">
    <w:abstractNumId w:val="15"/>
  </w:num>
  <w:num w:numId="22">
    <w:abstractNumId w:val="25"/>
  </w:num>
  <w:num w:numId="23">
    <w:abstractNumId w:val="5"/>
  </w:num>
  <w:num w:numId="24">
    <w:abstractNumId w:val="13"/>
  </w:num>
  <w:num w:numId="25">
    <w:abstractNumId w:val="21"/>
  </w:num>
  <w:num w:numId="26">
    <w:abstractNumId w:val="24"/>
  </w:num>
  <w:num w:numId="27">
    <w:abstractNumId w:val="22"/>
  </w:num>
  <w:num w:numId="28">
    <w:abstractNumId w:val="20"/>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A447F"/>
    <w:rsid w:val="001B56A7"/>
    <w:rsid w:val="001C175F"/>
    <w:rsid w:val="001D0369"/>
    <w:rsid w:val="001E6DF6"/>
    <w:rsid w:val="001F2016"/>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C5F5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80478"/>
    <w:rsid w:val="004831C1"/>
    <w:rsid w:val="0049467C"/>
    <w:rsid w:val="004A4860"/>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201E"/>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2010E"/>
    <w:rsid w:val="0072136B"/>
    <w:rsid w:val="0072717D"/>
    <w:rsid w:val="00736600"/>
    <w:rsid w:val="00736A4A"/>
    <w:rsid w:val="00741511"/>
    <w:rsid w:val="00744AA6"/>
    <w:rsid w:val="00751F78"/>
    <w:rsid w:val="007752EB"/>
    <w:rsid w:val="00781B4C"/>
    <w:rsid w:val="007827F8"/>
    <w:rsid w:val="00790C51"/>
    <w:rsid w:val="007944D3"/>
    <w:rsid w:val="007A1C07"/>
    <w:rsid w:val="007A52B2"/>
    <w:rsid w:val="007B15CB"/>
    <w:rsid w:val="007C0AF4"/>
    <w:rsid w:val="007C1433"/>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002E"/>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415A"/>
    <w:rsid w:val="00A0631E"/>
    <w:rsid w:val="00A07A83"/>
    <w:rsid w:val="00A20191"/>
    <w:rsid w:val="00A21DEB"/>
    <w:rsid w:val="00A304F7"/>
    <w:rsid w:val="00A63ABC"/>
    <w:rsid w:val="00A64284"/>
    <w:rsid w:val="00A75ACD"/>
    <w:rsid w:val="00A76E4C"/>
    <w:rsid w:val="00A91312"/>
    <w:rsid w:val="00A942F3"/>
    <w:rsid w:val="00A97284"/>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C3C06"/>
    <w:rsid w:val="00DC5E17"/>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7EF3"/>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article_jo/JORFARTI0000495259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318&amp;idArticle=LEGIARTI000018750851&amp;dateTexte=&amp;categorieLien=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article_jo/JORFARTI000049525956" TargetMode="External"/><Relationship Id="rId5" Type="http://schemas.openxmlformats.org/officeDocument/2006/relationships/webSettings" Target="webSettings.xml"/><Relationship Id="rId15" Type="http://schemas.openxmlformats.org/officeDocument/2006/relationships/hyperlink" Target="https://www.legifrance.gouv.fr/jorf/id/JORFTEXT000049573457" TargetMode="External"/><Relationship Id="rId10" Type="http://schemas.openxmlformats.org/officeDocument/2006/relationships/hyperlink" Target="https://www.legifrance.gouv.fr/jorf/id/JORFTEXT0000495258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CodeArticle.do?cidTexte=LEGITEXT000006071318&amp;idArticle=LEGIARTI00003873404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00C9-FB05-4F9F-A2B7-AB89C3EE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2</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371</cp:revision>
  <dcterms:created xsi:type="dcterms:W3CDTF">2021-03-23T13:03:00Z</dcterms:created>
  <dcterms:modified xsi:type="dcterms:W3CDTF">2024-05-23T06:23:00Z</dcterms:modified>
</cp:coreProperties>
</file>