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F17271">
        <w:rPr>
          <w:b/>
        </w:rPr>
        <w:t>2</w:t>
      </w:r>
      <w:r w:rsidR="003A05EC">
        <w:rPr>
          <w:b/>
        </w:rPr>
        <w:t xml:space="preserve"> du </w:t>
      </w:r>
      <w:r w:rsidR="00F17271">
        <w:rPr>
          <w:b/>
        </w:rPr>
        <w:t>29</w:t>
      </w:r>
      <w:r w:rsidR="00A97284">
        <w:rPr>
          <w:b/>
        </w:rPr>
        <w:t xml:space="preserve"> mai</w:t>
      </w:r>
      <w:r w:rsidR="00E67445">
        <w:rPr>
          <w:b/>
        </w:rPr>
        <w:t xml:space="preserve"> 202</w:t>
      </w:r>
      <w:r w:rsidR="00545BA6">
        <w:rPr>
          <w:b/>
        </w:rPr>
        <w:t>4</w:t>
      </w:r>
    </w:p>
    <w:p w:rsidR="008756B1" w:rsidRDefault="001971C7" w:rsidP="0017700D">
      <w:pPr>
        <w:jc w:val="center"/>
        <w:rPr>
          <w:rFonts w:cstheme="minorHAnsi"/>
          <w:b/>
        </w:rPr>
      </w:pPr>
      <w:r w:rsidRPr="001971C7">
        <w:rPr>
          <w:rFonts w:cstheme="minorHAnsi"/>
          <w:b/>
        </w:rPr>
        <w:t>Prix de thèse de l'INJEP et Education</w:t>
      </w:r>
    </w:p>
    <w:p w:rsidR="00F17271" w:rsidRDefault="00F17271" w:rsidP="00F17271">
      <w:pPr>
        <w:rPr>
          <w:rFonts w:cstheme="minorHAnsi"/>
          <w:b/>
        </w:rPr>
      </w:pPr>
    </w:p>
    <w:p w:rsidR="00477D8B" w:rsidRDefault="00477D8B" w:rsidP="00F17271">
      <w:pPr>
        <w:rPr>
          <w:rFonts w:cstheme="minorHAnsi"/>
          <w:b/>
        </w:rPr>
      </w:pPr>
      <w:r>
        <w:rPr>
          <w:rFonts w:cstheme="minorHAnsi"/>
          <w:b/>
        </w:rPr>
        <w:t>Prix de thèse de l’INJEP</w:t>
      </w:r>
    </w:p>
    <w:p w:rsidR="001971C7" w:rsidRDefault="001971C7" w:rsidP="001971C7">
      <w:pPr>
        <w:pStyle w:val="Titre1"/>
        <w:shd w:val="clear" w:color="auto" w:fill="FFFFFF"/>
        <w:spacing w:before="0" w:after="75"/>
        <w:rPr>
          <w:rFonts w:asciiTheme="minorHAnsi" w:hAnsiTheme="minorHAnsi" w:cstheme="minorHAnsi"/>
          <w:color w:val="000000"/>
          <w:sz w:val="22"/>
          <w:szCs w:val="22"/>
          <w:shd w:val="clear" w:color="auto" w:fill="FFFFFF"/>
        </w:rPr>
      </w:pPr>
      <w:hyperlink r:id="rId10" w:history="1">
        <w:r w:rsidRPr="001971C7">
          <w:rPr>
            <w:rStyle w:val="Lienhypertexte"/>
            <w:rFonts w:asciiTheme="minorHAnsi" w:hAnsiTheme="minorHAnsi" w:cstheme="minorHAnsi"/>
            <w:bCs/>
            <w:sz w:val="22"/>
            <w:szCs w:val="22"/>
          </w:rPr>
          <w:t>Arrêté du 4 mars 2024 modifiant l'arrêté du 31 mars 2022</w:t>
        </w:r>
      </w:hyperlink>
      <w:r w:rsidRPr="001971C7">
        <w:rPr>
          <w:rFonts w:asciiTheme="minorHAnsi" w:hAnsiTheme="minorHAnsi" w:cstheme="minorHAnsi"/>
          <w:bCs/>
          <w:color w:val="auto"/>
          <w:sz w:val="22"/>
          <w:szCs w:val="22"/>
        </w:rPr>
        <w:t xml:space="preserve"> portant création et règlement du Prix de thèse de l'Institut national de la jeunesse et de l'éducation populaire</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23 mai 2024</w:t>
      </w:r>
      <w:r>
        <w:rPr>
          <w:rFonts w:asciiTheme="minorHAnsi" w:hAnsiTheme="minorHAnsi" w:cstheme="minorHAnsi"/>
          <w:bCs/>
          <w:color w:val="auto"/>
          <w:sz w:val="22"/>
          <w:szCs w:val="22"/>
        </w:rPr>
        <w:br/>
      </w:r>
      <w:r>
        <w:rPr>
          <w:rFonts w:ascii="sourcesanspro" w:hAnsi="sourcesanspro"/>
          <w:color w:val="000000"/>
          <w:sz w:val="21"/>
          <w:szCs w:val="21"/>
        </w:rPr>
        <w:br/>
      </w:r>
      <w:r w:rsidRPr="001971C7">
        <w:rPr>
          <w:rFonts w:asciiTheme="minorHAnsi" w:hAnsiTheme="minorHAnsi" w:cstheme="minorHAnsi"/>
          <w:color w:val="000000"/>
          <w:sz w:val="22"/>
          <w:szCs w:val="22"/>
          <w:shd w:val="clear" w:color="auto" w:fill="FFFFFF"/>
        </w:rPr>
        <w:t>Au deuxième alinéa de l'article 4 de l'annexe à l'</w:t>
      </w:r>
      <w:hyperlink r:id="rId11" w:tooltip="Arrêté du 31 mars 2022" w:history="1">
        <w:r w:rsidRPr="001971C7">
          <w:rPr>
            <w:rStyle w:val="Lienhypertexte"/>
            <w:rFonts w:asciiTheme="minorHAnsi" w:hAnsiTheme="minorHAnsi" w:cstheme="minorHAnsi"/>
            <w:color w:val="4A5E81"/>
            <w:sz w:val="22"/>
            <w:szCs w:val="22"/>
            <w:shd w:val="clear" w:color="auto" w:fill="FFFFFF"/>
          </w:rPr>
          <w:t>arrêté du 31 mars 2022 </w:t>
        </w:r>
      </w:hyperlink>
      <w:r w:rsidRPr="001971C7">
        <w:rPr>
          <w:rFonts w:asciiTheme="minorHAnsi" w:hAnsiTheme="minorHAnsi" w:cstheme="minorHAnsi"/>
          <w:color w:val="000000"/>
          <w:sz w:val="22"/>
          <w:szCs w:val="22"/>
          <w:shd w:val="clear" w:color="auto" w:fill="FFFFFF"/>
        </w:rPr>
        <w:t>susvisé, les mots : « entre le 1er janvier de l'année N-2 et le 31 décembre de l'année N-1 » sont remplacés par les mots : « entre le 1er janvier de l'année N-3 et le 31 décembre de l'année N-1 ».</w:t>
      </w:r>
    </w:p>
    <w:p w:rsidR="001971C7" w:rsidRDefault="001971C7" w:rsidP="001971C7"/>
    <w:p w:rsidR="00477D8B" w:rsidRPr="00477D8B" w:rsidRDefault="00477D8B" w:rsidP="00477D8B">
      <w:pPr>
        <w:rPr>
          <w:b/>
        </w:rPr>
      </w:pPr>
      <w:r w:rsidRPr="00477D8B">
        <w:rPr>
          <w:b/>
        </w:rPr>
        <w:t>Education</w:t>
      </w:r>
      <w:bookmarkStart w:id="0" w:name="_GoBack"/>
      <w:bookmarkEnd w:id="0"/>
    </w:p>
    <w:p w:rsidR="001971C7" w:rsidRDefault="001971C7" w:rsidP="00477D8B">
      <w:pPr>
        <w:rPr>
          <w:rFonts w:cstheme="minorHAnsi"/>
          <w:bCs/>
        </w:rPr>
      </w:pPr>
      <w:hyperlink r:id="rId12" w:history="1">
        <w:r w:rsidRPr="001971C7">
          <w:rPr>
            <w:rStyle w:val="Lienhypertexte"/>
            <w:rFonts w:cstheme="minorHAnsi"/>
          </w:rPr>
          <w:t>Note de service du 24 avril 2024</w:t>
        </w:r>
      </w:hyperlink>
      <w:r w:rsidRPr="001971C7">
        <w:rPr>
          <w:rFonts w:cstheme="minorHAnsi"/>
        </w:rPr>
        <w:t xml:space="preserve"> </w:t>
      </w:r>
      <w:r>
        <w:rPr>
          <w:rFonts w:cstheme="minorHAnsi"/>
        </w:rPr>
        <w:t>relative aux o</w:t>
      </w:r>
      <w:r w:rsidRPr="001971C7">
        <w:rPr>
          <w:rFonts w:cstheme="minorHAnsi"/>
          <w:bCs/>
        </w:rPr>
        <w:t>rientations en faveur de la continuité éducative pour l’année 2024</w:t>
      </w:r>
      <w:r>
        <w:rPr>
          <w:rFonts w:cstheme="minorHAnsi"/>
          <w:bCs/>
        </w:rPr>
        <w:br/>
      </w:r>
      <w:r>
        <w:rPr>
          <w:rFonts w:cstheme="minorHAnsi"/>
          <w:bCs/>
        </w:rPr>
        <w:br/>
        <w:t>BOENJS n° 21 du 23 mai 2024</w:t>
      </w:r>
      <w:r>
        <w:rPr>
          <w:rFonts w:cstheme="minorHAnsi"/>
          <w:bCs/>
        </w:rPr>
        <w:br/>
      </w:r>
      <w:r w:rsidRPr="001971C7">
        <w:rPr>
          <w:rFonts w:cstheme="minorHAnsi"/>
          <w:bCs/>
        </w:rPr>
        <w:br/>
      </w:r>
      <w:r w:rsidRPr="001971C7">
        <w:rPr>
          <w:rFonts w:cstheme="minorHAnsi"/>
          <w:color w:val="000000"/>
        </w:rPr>
        <w:t>L’instruction n° MENV2213511J du 2 mai 2022 relative à la mise en œuvre des mesures de renforcement de la continuité éducative dans le cadre du plan Pour un renouveau de l’animation en accueils collectifs de mineurs prévoit qu’afin « de clarifier et d’actualiser le cadre d’exercice de la continuité éducative, des orientations annuelles seront adressées par le ministre de l’Éducation nationale et de la Jeunesse au comité de filière animation et aux recteurs de région académique ».</w:t>
      </w:r>
    </w:p>
    <w:p w:rsidR="001971C7" w:rsidRPr="001971C7" w:rsidRDefault="001971C7" w:rsidP="001971C7"/>
    <w:p w:rsidR="001971C7" w:rsidRPr="001971C7" w:rsidRDefault="001971C7" w:rsidP="001971C7"/>
    <w:sectPr w:rsidR="001971C7" w:rsidRPr="001971C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7C" w:rsidRDefault="0071777C" w:rsidP="00943B28">
      <w:pPr>
        <w:spacing w:after="0" w:line="240" w:lineRule="auto"/>
      </w:pPr>
      <w:r>
        <w:separator/>
      </w:r>
    </w:p>
  </w:endnote>
  <w:endnote w:type="continuationSeparator" w:id="0">
    <w:p w:rsidR="0071777C" w:rsidRDefault="0071777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77D8B">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7C" w:rsidRDefault="0071777C" w:rsidP="00943B28">
      <w:pPr>
        <w:spacing w:after="0" w:line="240" w:lineRule="auto"/>
      </w:pPr>
      <w:r>
        <w:separator/>
      </w:r>
    </w:p>
  </w:footnote>
  <w:footnote w:type="continuationSeparator" w:id="0">
    <w:p w:rsidR="0071777C" w:rsidRDefault="0071777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9"/>
  </w:num>
  <w:num w:numId="4">
    <w:abstractNumId w:val="11"/>
  </w:num>
  <w:num w:numId="5">
    <w:abstractNumId w:val="0"/>
  </w:num>
  <w:num w:numId="6">
    <w:abstractNumId w:val="9"/>
  </w:num>
  <w:num w:numId="7">
    <w:abstractNumId w:val="3"/>
  </w:num>
  <w:num w:numId="8">
    <w:abstractNumId w:val="14"/>
  </w:num>
  <w:num w:numId="9">
    <w:abstractNumId w:val="18"/>
  </w:num>
  <w:num w:numId="10">
    <w:abstractNumId w:val="17"/>
  </w:num>
  <w:num w:numId="11">
    <w:abstractNumId w:val="6"/>
  </w:num>
  <w:num w:numId="12">
    <w:abstractNumId w:val="8"/>
  </w:num>
  <w:num w:numId="13">
    <w:abstractNumId w:val="7"/>
  </w:num>
  <w:num w:numId="14">
    <w:abstractNumId w:val="10"/>
  </w:num>
  <w:num w:numId="15">
    <w:abstractNumId w:val="2"/>
  </w:num>
  <w:num w:numId="16">
    <w:abstractNumId w:val="16"/>
  </w:num>
  <w:num w:numId="17">
    <w:abstractNumId w:val="26"/>
  </w:num>
  <w:num w:numId="18">
    <w:abstractNumId w:val="1"/>
  </w:num>
  <w:num w:numId="19">
    <w:abstractNumId w:val="12"/>
  </w:num>
  <w:num w:numId="20">
    <w:abstractNumId w:val="28"/>
  </w:num>
  <w:num w:numId="21">
    <w:abstractNumId w:val="15"/>
  </w:num>
  <w:num w:numId="22">
    <w:abstractNumId w:val="25"/>
  </w:num>
  <w:num w:numId="23">
    <w:abstractNumId w:val="5"/>
  </w:num>
  <w:num w:numId="24">
    <w:abstractNumId w:val="13"/>
  </w:num>
  <w:num w:numId="25">
    <w:abstractNumId w:val="21"/>
  </w:num>
  <w:num w:numId="26">
    <w:abstractNumId w:val="24"/>
  </w:num>
  <w:num w:numId="27">
    <w:abstractNumId w:val="22"/>
  </w:num>
  <w:num w:numId="28">
    <w:abstractNumId w:val="20"/>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8C8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4/Hebdo21/MENV241297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5530746&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95735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5F80-AFEB-4582-9C14-168B07C7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383</cp:revision>
  <dcterms:created xsi:type="dcterms:W3CDTF">2021-03-23T13:03:00Z</dcterms:created>
  <dcterms:modified xsi:type="dcterms:W3CDTF">2024-05-24T07:53:00Z</dcterms:modified>
</cp:coreProperties>
</file>