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30" w:rsidRDefault="000B1E30" w:rsidP="000B1E30"/>
    <w:tbl>
      <w:tblPr>
        <w:tblStyle w:val="Grilledutableau1"/>
        <w:tblW w:w="0" w:type="auto"/>
        <w:tblInd w:w="0" w:type="dxa"/>
        <w:tblLook w:val="04A0" w:firstRow="1" w:lastRow="0" w:firstColumn="1" w:lastColumn="0" w:noHBand="0" w:noVBand="1"/>
      </w:tblPr>
      <w:tblGrid>
        <w:gridCol w:w="9062"/>
      </w:tblGrid>
      <w:tr w:rsidR="000B1E30" w:rsidRPr="006A7708" w:rsidTr="00697863">
        <w:trPr>
          <w:trHeight w:val="280"/>
        </w:trPr>
        <w:tc>
          <w:tcPr>
            <w:tcW w:w="9062"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0B1E30" w:rsidRPr="006A7708" w:rsidRDefault="000B1E30" w:rsidP="00697863">
            <w:pPr>
              <w:spacing w:line="256" w:lineRule="auto"/>
              <w:jc w:val="center"/>
              <w:rPr>
                <w:rFonts w:cstheme="minorHAnsi"/>
                <w:b/>
                <w:sz w:val="28"/>
                <w:szCs w:val="28"/>
              </w:rPr>
            </w:pPr>
            <w:bookmarkStart w:id="0" w:name="_GoBack"/>
            <w:r>
              <w:rPr>
                <w:rFonts w:cstheme="minorHAnsi"/>
                <w:b/>
                <w:sz w:val="28"/>
                <w:szCs w:val="28"/>
              </w:rPr>
              <w:t xml:space="preserve">Centre </w:t>
            </w:r>
            <w:proofErr w:type="spellStart"/>
            <w:r>
              <w:rPr>
                <w:rFonts w:cstheme="minorHAnsi"/>
                <w:b/>
                <w:sz w:val="28"/>
                <w:szCs w:val="28"/>
              </w:rPr>
              <w:t>Hubertine</w:t>
            </w:r>
            <w:proofErr w:type="spellEnd"/>
            <w:r>
              <w:rPr>
                <w:rFonts w:cstheme="minorHAnsi"/>
                <w:b/>
                <w:sz w:val="28"/>
                <w:szCs w:val="28"/>
              </w:rPr>
              <w:t xml:space="preserve"> </w:t>
            </w:r>
            <w:proofErr w:type="spellStart"/>
            <w:r>
              <w:rPr>
                <w:rFonts w:cstheme="minorHAnsi"/>
                <w:b/>
                <w:sz w:val="28"/>
                <w:szCs w:val="28"/>
              </w:rPr>
              <w:t>Auclert</w:t>
            </w:r>
            <w:bookmarkEnd w:id="0"/>
            <w:proofErr w:type="spellEnd"/>
            <w:r>
              <w:rPr>
                <w:rFonts w:cstheme="minorHAnsi"/>
                <w:b/>
                <w:sz w:val="28"/>
                <w:szCs w:val="28"/>
              </w:rPr>
              <w:t>- Centre Francilien pour l’égalité Femmes-Hommes</w:t>
            </w:r>
          </w:p>
          <w:p w:rsidR="000B1E30" w:rsidRPr="006A7708" w:rsidRDefault="000B1E30" w:rsidP="00697863">
            <w:pPr>
              <w:spacing w:line="256" w:lineRule="auto"/>
              <w:jc w:val="center"/>
              <w:rPr>
                <w:rFonts w:cstheme="minorHAnsi"/>
                <w:sz w:val="20"/>
                <w:szCs w:val="20"/>
              </w:rPr>
            </w:pPr>
            <w:r>
              <w:rPr>
                <w:rFonts w:cstheme="minorHAnsi"/>
                <w:sz w:val="20"/>
                <w:szCs w:val="20"/>
              </w:rPr>
              <w:t xml:space="preserve"> (APEGA_ 06</w:t>
            </w:r>
            <w:r w:rsidRPr="006A7708">
              <w:rPr>
                <w:rFonts w:cstheme="minorHAnsi"/>
                <w:sz w:val="20"/>
                <w:szCs w:val="20"/>
              </w:rPr>
              <w:t>)</w:t>
            </w:r>
          </w:p>
        </w:tc>
      </w:tr>
      <w:tr w:rsidR="000B1E30" w:rsidRPr="006A7708" w:rsidTr="00697863">
        <w:tc>
          <w:tcPr>
            <w:tcW w:w="9062" w:type="dxa"/>
            <w:tcBorders>
              <w:top w:val="single" w:sz="4" w:space="0" w:color="auto"/>
              <w:left w:val="single" w:sz="4" w:space="0" w:color="auto"/>
              <w:bottom w:val="single" w:sz="4" w:space="0" w:color="auto"/>
              <w:right w:val="single" w:sz="4" w:space="0" w:color="auto"/>
            </w:tcBorders>
          </w:tcPr>
          <w:p w:rsidR="000B1E30" w:rsidRPr="006A7708" w:rsidRDefault="000B1E30" w:rsidP="00697863">
            <w:pPr>
              <w:spacing w:line="256" w:lineRule="auto"/>
              <w:jc w:val="center"/>
              <w:rPr>
                <w:rFonts w:cstheme="minorHAnsi"/>
                <w:b/>
                <w:color w:val="002060"/>
              </w:rPr>
            </w:pPr>
          </w:p>
          <w:p w:rsidR="000B1E30" w:rsidRPr="006A7708" w:rsidRDefault="000B1E30" w:rsidP="00697863">
            <w:pPr>
              <w:spacing w:line="256" w:lineRule="auto"/>
              <w:jc w:val="center"/>
              <w:rPr>
                <w:rFonts w:cstheme="minorHAnsi"/>
                <w:b/>
                <w:color w:val="002060"/>
              </w:rPr>
            </w:pPr>
            <w:r w:rsidRPr="00C4493C">
              <w:rPr>
                <w:rFonts w:cstheme="minorHAnsi"/>
                <w:b/>
                <w:color w:val="002060"/>
              </w:rPr>
              <w:t xml:space="preserve">Former et accompagner pour plus d’égalité entre les filles et les garçons dans et via les pratiques des </w:t>
            </w:r>
            <w:proofErr w:type="spellStart"/>
            <w:r w:rsidRPr="00C4493C">
              <w:rPr>
                <w:rFonts w:cstheme="minorHAnsi"/>
                <w:b/>
                <w:color w:val="002060"/>
              </w:rPr>
              <w:t>professionnel·les</w:t>
            </w:r>
            <w:proofErr w:type="spellEnd"/>
            <w:r w:rsidRPr="00C4493C">
              <w:rPr>
                <w:rFonts w:cstheme="minorHAnsi"/>
                <w:b/>
                <w:color w:val="002060"/>
              </w:rPr>
              <w:t xml:space="preserve"> de la petite enfance, enfance et jeunesse en Ile-de-France </w:t>
            </w:r>
          </w:p>
          <w:p w:rsidR="000B1E30" w:rsidRDefault="000B1E30" w:rsidP="00697863">
            <w:pPr>
              <w:spacing w:line="256" w:lineRule="auto"/>
              <w:jc w:val="center"/>
              <w:rPr>
                <w:rFonts w:cstheme="minorHAnsi"/>
                <w:b/>
                <w:color w:val="002060"/>
              </w:rPr>
            </w:pPr>
          </w:p>
          <w:p w:rsidR="000B1E30" w:rsidRDefault="000B1E30" w:rsidP="00697863">
            <w:pPr>
              <w:spacing w:line="256" w:lineRule="auto"/>
              <w:rPr>
                <w:rFonts w:cstheme="minorHAnsi"/>
                <w:b/>
                <w:sz w:val="18"/>
                <w:szCs w:val="18"/>
              </w:rPr>
            </w:pPr>
            <w:r w:rsidRPr="0060483E">
              <w:rPr>
                <w:rFonts w:cstheme="minorHAnsi"/>
                <w:b/>
                <w:sz w:val="18"/>
                <w:szCs w:val="18"/>
              </w:rPr>
              <w:t>Axe</w:t>
            </w:r>
            <w:r>
              <w:rPr>
                <w:rFonts w:cstheme="minorHAnsi"/>
                <w:b/>
                <w:sz w:val="18"/>
                <w:szCs w:val="18"/>
              </w:rPr>
              <w:t xml:space="preserve"> 1</w:t>
            </w:r>
            <w:r w:rsidRPr="0060483E">
              <w:rPr>
                <w:rFonts w:cstheme="minorHAnsi"/>
                <w:b/>
                <w:sz w:val="18"/>
                <w:szCs w:val="18"/>
              </w:rPr>
              <w:t> :</w:t>
            </w:r>
            <w:r>
              <w:rPr>
                <w:rFonts w:cstheme="minorHAnsi"/>
                <w:b/>
                <w:sz w:val="18"/>
                <w:szCs w:val="18"/>
              </w:rPr>
              <w:t xml:space="preserve"> </w:t>
            </w:r>
            <w:r w:rsidRPr="0060483E">
              <w:rPr>
                <w:rFonts w:cstheme="minorHAnsi"/>
                <w:b/>
                <w:sz w:val="18"/>
                <w:szCs w:val="18"/>
              </w:rPr>
              <w:t>Sensibiliser et former les professionnels et l’ensemble des acteurs de la</w:t>
            </w:r>
            <w:r>
              <w:rPr>
                <w:rFonts w:cstheme="minorHAnsi"/>
                <w:b/>
                <w:sz w:val="18"/>
                <w:szCs w:val="18"/>
              </w:rPr>
              <w:t xml:space="preserve"> </w:t>
            </w:r>
            <w:r w:rsidRPr="0060483E">
              <w:rPr>
                <w:rFonts w:cstheme="minorHAnsi"/>
                <w:b/>
                <w:sz w:val="18"/>
                <w:szCs w:val="18"/>
              </w:rPr>
              <w:t>communauté éducative à l’égalité filles‐garçons</w:t>
            </w:r>
          </w:p>
          <w:p w:rsidR="000B1E30" w:rsidRPr="006A7708" w:rsidRDefault="000B1E30" w:rsidP="00697863">
            <w:pPr>
              <w:spacing w:line="256" w:lineRule="auto"/>
              <w:rPr>
                <w:rFonts w:cstheme="minorHAnsi"/>
                <w:b/>
                <w:sz w:val="18"/>
                <w:szCs w:val="18"/>
              </w:rPr>
            </w:pPr>
          </w:p>
          <w:p w:rsidR="000B1E30" w:rsidRPr="006A7708" w:rsidRDefault="000B1E30" w:rsidP="00697863">
            <w:pPr>
              <w:spacing w:line="256" w:lineRule="auto"/>
              <w:rPr>
                <w:rFonts w:cstheme="minorHAnsi"/>
                <w:b/>
                <w:sz w:val="18"/>
                <w:szCs w:val="18"/>
              </w:rPr>
            </w:pPr>
            <w:r w:rsidRPr="006A7708">
              <w:rPr>
                <w:rFonts w:cstheme="minorHAnsi"/>
                <w:b/>
                <w:sz w:val="18"/>
                <w:szCs w:val="18"/>
              </w:rPr>
              <w:t>Présentation du projet :</w:t>
            </w:r>
          </w:p>
          <w:p w:rsidR="000B1E30" w:rsidRPr="00DE549F" w:rsidRDefault="000B1E30" w:rsidP="00697863">
            <w:pPr>
              <w:spacing w:line="256" w:lineRule="auto"/>
              <w:jc w:val="both"/>
              <w:rPr>
                <w:rFonts w:cstheme="minorHAnsi"/>
                <w:bCs/>
                <w:sz w:val="18"/>
                <w:szCs w:val="18"/>
              </w:rPr>
            </w:pPr>
            <w:r w:rsidRPr="00DE549F">
              <w:rPr>
                <w:rFonts w:cstheme="minorHAnsi"/>
                <w:bCs/>
                <w:sz w:val="18"/>
                <w:szCs w:val="18"/>
              </w:rPr>
              <w:t>Le projet a pour objectif de permettre aux équipes éducatives des collectivités territoriales de prendre en compte les biais de genre dans leurs pratiques éducatives, et de développer des projets sur ce thème, pour agir auprès des enfants de 0 à 18 ans, grâce à des temps de formations, de sensibilisation, d’échanges de pratiques et un accompagnement personnalisé.</w:t>
            </w:r>
          </w:p>
          <w:p w:rsidR="000B1E30" w:rsidRPr="00936A5E" w:rsidRDefault="000B1E30" w:rsidP="00697863">
            <w:pPr>
              <w:spacing w:line="256" w:lineRule="auto"/>
              <w:rPr>
                <w:rFonts w:cstheme="minorHAnsi"/>
                <w:b/>
                <w:bCs/>
                <w:sz w:val="18"/>
                <w:szCs w:val="18"/>
              </w:rPr>
            </w:pPr>
          </w:p>
          <w:p w:rsidR="000B1E30" w:rsidRDefault="000B1E30" w:rsidP="00697863">
            <w:pPr>
              <w:spacing w:line="256" w:lineRule="auto"/>
              <w:rPr>
                <w:rFonts w:cstheme="minorHAnsi"/>
                <w:b/>
                <w:sz w:val="18"/>
                <w:szCs w:val="18"/>
              </w:rPr>
            </w:pPr>
            <w:r>
              <w:rPr>
                <w:rFonts w:cstheme="minorHAnsi"/>
                <w:b/>
                <w:sz w:val="18"/>
                <w:szCs w:val="18"/>
              </w:rPr>
              <w:t xml:space="preserve">Objectifs du projet : </w:t>
            </w:r>
          </w:p>
          <w:p w:rsidR="000B1E30" w:rsidRPr="00415656" w:rsidRDefault="000B1E30" w:rsidP="00697863">
            <w:pPr>
              <w:spacing w:line="256" w:lineRule="auto"/>
              <w:jc w:val="both"/>
              <w:rPr>
                <w:rFonts w:cstheme="minorHAnsi"/>
                <w:bCs/>
                <w:sz w:val="18"/>
                <w:szCs w:val="18"/>
              </w:rPr>
            </w:pPr>
            <w:r>
              <w:rPr>
                <w:rFonts w:cstheme="minorHAnsi"/>
                <w:i/>
                <w:sz w:val="18"/>
                <w:szCs w:val="18"/>
              </w:rPr>
              <w:t>Objectif général</w:t>
            </w:r>
            <w:r>
              <w:rPr>
                <w:rFonts w:cstheme="minorHAnsi"/>
                <w:b/>
                <w:sz w:val="18"/>
                <w:szCs w:val="18"/>
              </w:rPr>
              <w:t xml:space="preserve">: </w:t>
            </w:r>
            <w:r w:rsidRPr="00415656">
              <w:rPr>
                <w:rFonts w:cstheme="minorHAnsi"/>
                <w:bCs/>
                <w:sz w:val="18"/>
                <w:szCs w:val="18"/>
              </w:rPr>
              <w:t>Permettre aux équipes éducatives des collectivités territoriales de prendre en compte les biais de genre dans leurs pratiques éducatives, et de développer des projets sur ce thème, pour agir auprès des enfants de 0 à 18 ans.</w:t>
            </w:r>
          </w:p>
          <w:p w:rsidR="000B1E30" w:rsidRPr="00415656" w:rsidRDefault="000B1E30" w:rsidP="00697863">
            <w:pPr>
              <w:spacing w:line="256" w:lineRule="auto"/>
              <w:rPr>
                <w:rFonts w:cstheme="minorHAnsi"/>
                <w:sz w:val="18"/>
                <w:szCs w:val="18"/>
              </w:rPr>
            </w:pPr>
          </w:p>
          <w:p w:rsidR="000B1E30" w:rsidRPr="00415656" w:rsidRDefault="000B1E30" w:rsidP="00697863">
            <w:pPr>
              <w:spacing w:line="256" w:lineRule="auto"/>
              <w:rPr>
                <w:rFonts w:cstheme="minorHAnsi"/>
                <w:i/>
                <w:sz w:val="18"/>
                <w:szCs w:val="18"/>
              </w:rPr>
            </w:pPr>
            <w:r w:rsidRPr="00415656">
              <w:rPr>
                <w:rFonts w:cstheme="minorHAnsi"/>
                <w:i/>
                <w:sz w:val="18"/>
                <w:szCs w:val="18"/>
              </w:rPr>
              <w:t xml:space="preserve">Objectifs spécifiques : </w:t>
            </w:r>
          </w:p>
          <w:p w:rsidR="000B1E30" w:rsidRPr="003F42E0" w:rsidRDefault="000B1E30" w:rsidP="000B1E30">
            <w:pPr>
              <w:pStyle w:val="Paragraphedeliste"/>
              <w:numPr>
                <w:ilvl w:val="0"/>
                <w:numId w:val="14"/>
              </w:numPr>
              <w:spacing w:line="256" w:lineRule="auto"/>
              <w:jc w:val="both"/>
              <w:rPr>
                <w:rFonts w:cstheme="minorHAnsi"/>
                <w:sz w:val="18"/>
                <w:szCs w:val="18"/>
              </w:rPr>
            </w:pPr>
            <w:r w:rsidRPr="003F42E0">
              <w:rPr>
                <w:rFonts w:cstheme="minorHAnsi"/>
                <w:bCs/>
                <w:sz w:val="18"/>
                <w:szCs w:val="18"/>
              </w:rPr>
              <w:t>Accompagner sur trois ans des collectivité</w:t>
            </w:r>
            <w:r>
              <w:rPr>
                <w:rFonts w:cstheme="minorHAnsi"/>
                <w:bCs/>
                <w:sz w:val="18"/>
                <w:szCs w:val="18"/>
              </w:rPr>
              <w:t>s et former des professionnel</w:t>
            </w:r>
            <w:r w:rsidRPr="003F42E0">
              <w:rPr>
                <w:rFonts w:cstheme="minorHAnsi"/>
                <w:bCs/>
                <w:sz w:val="18"/>
                <w:szCs w:val="18"/>
              </w:rPr>
              <w:t>s actifs et actives sur le temps périscolaire au sein des communes à l’égalité de genre dans leurs pratiques professionnelles,</w:t>
            </w:r>
          </w:p>
          <w:p w:rsidR="000B1E30" w:rsidRPr="003F42E0" w:rsidRDefault="000B1E30" w:rsidP="000B1E30">
            <w:pPr>
              <w:pStyle w:val="Paragraphedeliste"/>
              <w:numPr>
                <w:ilvl w:val="0"/>
                <w:numId w:val="14"/>
              </w:numPr>
              <w:spacing w:line="256" w:lineRule="auto"/>
              <w:rPr>
                <w:rFonts w:cstheme="minorHAnsi"/>
                <w:sz w:val="18"/>
                <w:szCs w:val="18"/>
              </w:rPr>
            </w:pPr>
            <w:r w:rsidRPr="003F42E0">
              <w:rPr>
                <w:rFonts w:cstheme="minorHAnsi"/>
                <w:bCs/>
                <w:sz w:val="18"/>
                <w:szCs w:val="18"/>
              </w:rPr>
              <w:t>Accompagner sur un an des collectivité</w:t>
            </w:r>
            <w:r>
              <w:rPr>
                <w:rFonts w:cstheme="minorHAnsi"/>
                <w:bCs/>
                <w:sz w:val="18"/>
                <w:szCs w:val="18"/>
              </w:rPr>
              <w:t>s et former des professionnel</w:t>
            </w:r>
            <w:r w:rsidRPr="003F42E0">
              <w:rPr>
                <w:rFonts w:cstheme="minorHAnsi"/>
                <w:bCs/>
                <w:sz w:val="18"/>
                <w:szCs w:val="18"/>
              </w:rPr>
              <w:t>s actifs et actives sur le temps périscolaire au sein des communes à l’égalité de genre dans l</w:t>
            </w:r>
            <w:r>
              <w:rPr>
                <w:rFonts w:cstheme="minorHAnsi"/>
                <w:bCs/>
                <w:sz w:val="18"/>
                <w:szCs w:val="18"/>
              </w:rPr>
              <w:t>eurs pratiques professionnelles</w:t>
            </w:r>
            <w:r w:rsidRPr="003F42E0">
              <w:rPr>
                <w:rFonts w:cstheme="minorHAnsi"/>
                <w:bCs/>
                <w:sz w:val="18"/>
                <w:szCs w:val="18"/>
              </w:rPr>
              <w:t>,</w:t>
            </w:r>
          </w:p>
          <w:p w:rsidR="000B1E30" w:rsidRPr="003F42E0" w:rsidRDefault="000B1E30" w:rsidP="000B1E30">
            <w:pPr>
              <w:pStyle w:val="Paragraphedeliste"/>
              <w:numPr>
                <w:ilvl w:val="0"/>
                <w:numId w:val="14"/>
              </w:numPr>
              <w:spacing w:line="256" w:lineRule="auto"/>
              <w:jc w:val="both"/>
              <w:rPr>
                <w:rFonts w:cstheme="minorHAnsi"/>
                <w:sz w:val="18"/>
                <w:szCs w:val="18"/>
              </w:rPr>
            </w:pPr>
            <w:r w:rsidRPr="003F42E0">
              <w:rPr>
                <w:rFonts w:cstheme="minorHAnsi"/>
                <w:bCs/>
                <w:sz w:val="18"/>
                <w:szCs w:val="18"/>
              </w:rPr>
              <w:t>Accompagner les équipes professionnelles dans la mise en place de projets autour de l’éducation à l’égalité sur les temps périscolaires. </w:t>
            </w:r>
          </w:p>
          <w:p w:rsidR="000B1E30" w:rsidRPr="003F42E0" w:rsidRDefault="000B1E30" w:rsidP="00697863">
            <w:pPr>
              <w:spacing w:line="256" w:lineRule="auto"/>
              <w:ind w:left="720"/>
              <w:contextualSpacing/>
              <w:jc w:val="both"/>
              <w:rPr>
                <w:rFonts w:cstheme="minorHAnsi"/>
                <w:sz w:val="18"/>
                <w:szCs w:val="18"/>
              </w:rPr>
            </w:pPr>
          </w:p>
          <w:p w:rsidR="000B1E30" w:rsidRPr="006A7708" w:rsidRDefault="000B1E30" w:rsidP="00697863">
            <w:pPr>
              <w:spacing w:line="256" w:lineRule="auto"/>
              <w:rPr>
                <w:rFonts w:cstheme="minorHAnsi"/>
                <w:b/>
                <w:sz w:val="18"/>
                <w:szCs w:val="18"/>
              </w:rPr>
            </w:pPr>
            <w:r w:rsidRPr="006A7708">
              <w:rPr>
                <w:rFonts w:cstheme="minorHAnsi"/>
                <w:b/>
                <w:sz w:val="18"/>
                <w:szCs w:val="18"/>
              </w:rPr>
              <w:t>Actions menées</w:t>
            </w:r>
            <w:r>
              <w:rPr>
                <w:rFonts w:cstheme="minorHAnsi"/>
                <w:b/>
                <w:sz w:val="18"/>
                <w:szCs w:val="18"/>
              </w:rPr>
              <w:t xml:space="preserve"> : </w:t>
            </w:r>
          </w:p>
          <w:p w:rsidR="000B1E30" w:rsidRPr="00A001F8" w:rsidRDefault="000B1E30" w:rsidP="000B1E30">
            <w:pPr>
              <w:pStyle w:val="Paragraphedeliste"/>
              <w:numPr>
                <w:ilvl w:val="0"/>
                <w:numId w:val="15"/>
              </w:numPr>
              <w:spacing w:line="256" w:lineRule="auto"/>
              <w:jc w:val="both"/>
              <w:rPr>
                <w:rFonts w:cstheme="minorHAnsi"/>
                <w:bCs/>
                <w:sz w:val="18"/>
                <w:szCs w:val="18"/>
              </w:rPr>
            </w:pPr>
            <w:r w:rsidRPr="00A001F8">
              <w:rPr>
                <w:rFonts w:cstheme="minorHAnsi"/>
                <w:bCs/>
                <w:sz w:val="18"/>
                <w:szCs w:val="18"/>
              </w:rPr>
              <w:t>Sensibilisation à l’égalité filles- garçons des équipes de direction des structures, et des chargées de mission/responsables de servi</w:t>
            </w:r>
            <w:r>
              <w:rPr>
                <w:rFonts w:cstheme="minorHAnsi"/>
                <w:bCs/>
                <w:sz w:val="18"/>
                <w:szCs w:val="18"/>
              </w:rPr>
              <w:t>ce de chaque commune partenaire ;</w:t>
            </w:r>
          </w:p>
          <w:p w:rsidR="000B1E30" w:rsidRPr="00A001F8" w:rsidRDefault="000B1E30" w:rsidP="000B1E30">
            <w:pPr>
              <w:pStyle w:val="Paragraphedeliste"/>
              <w:numPr>
                <w:ilvl w:val="0"/>
                <w:numId w:val="15"/>
              </w:numPr>
              <w:spacing w:line="256" w:lineRule="auto"/>
              <w:jc w:val="both"/>
              <w:rPr>
                <w:rFonts w:cstheme="minorHAnsi"/>
                <w:sz w:val="18"/>
                <w:szCs w:val="18"/>
              </w:rPr>
            </w:pPr>
            <w:r w:rsidRPr="00A001F8">
              <w:rPr>
                <w:rFonts w:cstheme="minorHAnsi"/>
                <w:bCs/>
                <w:sz w:val="18"/>
                <w:szCs w:val="18"/>
              </w:rPr>
              <w:t>Organisation d’une formation de personnes ressources « Amba</w:t>
            </w:r>
            <w:r>
              <w:rPr>
                <w:rFonts w:cstheme="minorHAnsi"/>
                <w:bCs/>
                <w:sz w:val="18"/>
                <w:szCs w:val="18"/>
              </w:rPr>
              <w:t>ssadrices » au sein des équipes ;</w:t>
            </w:r>
          </w:p>
          <w:p w:rsidR="000B1E30" w:rsidRPr="00A001F8" w:rsidRDefault="000B1E30" w:rsidP="000B1E30">
            <w:pPr>
              <w:pStyle w:val="Paragraphedeliste"/>
              <w:numPr>
                <w:ilvl w:val="0"/>
                <w:numId w:val="15"/>
              </w:numPr>
              <w:spacing w:line="256" w:lineRule="auto"/>
              <w:jc w:val="both"/>
              <w:rPr>
                <w:rFonts w:cstheme="minorHAnsi"/>
                <w:sz w:val="18"/>
                <w:szCs w:val="18"/>
              </w:rPr>
            </w:pPr>
            <w:r w:rsidRPr="00A001F8">
              <w:rPr>
                <w:rFonts w:cstheme="minorHAnsi"/>
                <w:bCs/>
                <w:sz w:val="18"/>
                <w:szCs w:val="18"/>
              </w:rPr>
              <w:t xml:space="preserve">Organisation d’une journée de restitution des </w:t>
            </w:r>
            <w:r>
              <w:rPr>
                <w:rFonts w:cstheme="minorHAnsi"/>
                <w:bCs/>
                <w:sz w:val="18"/>
                <w:szCs w:val="18"/>
              </w:rPr>
              <w:t>formations et des projets menés ;</w:t>
            </w:r>
          </w:p>
          <w:p w:rsidR="000B1E30" w:rsidRPr="00A001F8" w:rsidRDefault="000B1E30" w:rsidP="000B1E30">
            <w:pPr>
              <w:pStyle w:val="Paragraphedeliste"/>
              <w:numPr>
                <w:ilvl w:val="0"/>
                <w:numId w:val="15"/>
              </w:numPr>
              <w:spacing w:line="256" w:lineRule="auto"/>
              <w:jc w:val="both"/>
              <w:rPr>
                <w:rFonts w:cstheme="minorHAnsi"/>
                <w:sz w:val="18"/>
                <w:szCs w:val="18"/>
              </w:rPr>
            </w:pPr>
            <w:r w:rsidRPr="00A001F8">
              <w:rPr>
                <w:rFonts w:cstheme="minorHAnsi"/>
                <w:bCs/>
                <w:sz w:val="18"/>
                <w:szCs w:val="18"/>
              </w:rPr>
              <w:t>Organisation de temps d’échanges de pratiques autour de projets pédagogiques égalitaires ou d’évènements spécifiqu</w:t>
            </w:r>
            <w:r>
              <w:rPr>
                <w:rFonts w:cstheme="minorHAnsi"/>
                <w:bCs/>
                <w:sz w:val="18"/>
                <w:szCs w:val="18"/>
              </w:rPr>
              <w:t>es organisés par les structures ;</w:t>
            </w:r>
          </w:p>
          <w:p w:rsidR="000B1E30" w:rsidRPr="00A001F8" w:rsidRDefault="000B1E30" w:rsidP="000B1E30">
            <w:pPr>
              <w:pStyle w:val="Paragraphedeliste"/>
              <w:numPr>
                <w:ilvl w:val="0"/>
                <w:numId w:val="15"/>
              </w:numPr>
              <w:spacing w:line="256" w:lineRule="auto"/>
              <w:jc w:val="both"/>
              <w:rPr>
                <w:rFonts w:cstheme="minorHAnsi"/>
                <w:sz w:val="18"/>
                <w:szCs w:val="18"/>
              </w:rPr>
            </w:pPr>
            <w:r w:rsidRPr="00A001F8">
              <w:rPr>
                <w:rFonts w:cstheme="minorHAnsi"/>
                <w:bCs/>
                <w:sz w:val="18"/>
                <w:szCs w:val="18"/>
              </w:rPr>
              <w:t>Accompagnement individuel des partenaires au sein des collectivités, en complément des formations dispensées.</w:t>
            </w:r>
          </w:p>
          <w:p w:rsidR="000B1E30" w:rsidRPr="006A7708" w:rsidRDefault="000B1E30" w:rsidP="00697863">
            <w:pPr>
              <w:spacing w:line="256" w:lineRule="auto"/>
              <w:rPr>
                <w:rFonts w:cstheme="minorHAnsi"/>
                <w:b/>
                <w:sz w:val="18"/>
                <w:szCs w:val="18"/>
              </w:rPr>
            </w:pPr>
          </w:p>
          <w:p w:rsidR="000B1E30" w:rsidRDefault="000B1E30" w:rsidP="00697863">
            <w:pPr>
              <w:spacing w:line="256" w:lineRule="auto"/>
              <w:jc w:val="both"/>
              <w:rPr>
                <w:rFonts w:cstheme="minorHAnsi"/>
                <w:sz w:val="18"/>
                <w:szCs w:val="18"/>
              </w:rPr>
            </w:pPr>
            <w:r w:rsidRPr="006A7708">
              <w:rPr>
                <w:rFonts w:cstheme="minorHAnsi"/>
                <w:b/>
                <w:sz w:val="18"/>
                <w:szCs w:val="18"/>
              </w:rPr>
              <w:t>Territoire d’expérimentation</w:t>
            </w:r>
            <w:r>
              <w:rPr>
                <w:rFonts w:cstheme="minorHAnsi"/>
                <w:sz w:val="18"/>
                <w:szCs w:val="18"/>
              </w:rPr>
              <w:t xml:space="preserve"> : </w:t>
            </w:r>
          </w:p>
          <w:p w:rsidR="000B1E30" w:rsidRDefault="000B1E30" w:rsidP="00697863">
            <w:pPr>
              <w:spacing w:line="256" w:lineRule="auto"/>
              <w:jc w:val="both"/>
              <w:rPr>
                <w:rFonts w:cstheme="minorHAnsi"/>
                <w:sz w:val="18"/>
                <w:szCs w:val="18"/>
              </w:rPr>
            </w:pPr>
            <w:r>
              <w:rPr>
                <w:rFonts w:cstheme="minorHAnsi"/>
                <w:sz w:val="18"/>
                <w:szCs w:val="18"/>
              </w:rPr>
              <w:t>I</w:t>
            </w:r>
            <w:r w:rsidRPr="0004583E">
              <w:rPr>
                <w:rFonts w:cstheme="minorHAnsi"/>
                <w:sz w:val="18"/>
                <w:szCs w:val="18"/>
              </w:rPr>
              <w:t>le-de-France</w:t>
            </w:r>
          </w:p>
          <w:p w:rsidR="000B1E30" w:rsidRPr="006A7708" w:rsidRDefault="000B1E30" w:rsidP="00697863">
            <w:pPr>
              <w:spacing w:line="256" w:lineRule="auto"/>
              <w:jc w:val="both"/>
              <w:rPr>
                <w:rFonts w:cstheme="minorHAnsi"/>
                <w:sz w:val="18"/>
                <w:szCs w:val="18"/>
              </w:rPr>
            </w:pPr>
          </w:p>
          <w:p w:rsidR="000B1E30" w:rsidRDefault="000B1E30" w:rsidP="00697863">
            <w:pPr>
              <w:jc w:val="both"/>
              <w:rPr>
                <w:rFonts w:cstheme="minorHAnsi"/>
                <w:b/>
                <w:sz w:val="18"/>
                <w:szCs w:val="18"/>
              </w:rPr>
            </w:pPr>
            <w:r w:rsidRPr="006A7708">
              <w:rPr>
                <w:rFonts w:cstheme="minorHAnsi"/>
                <w:b/>
                <w:sz w:val="18"/>
                <w:szCs w:val="18"/>
              </w:rPr>
              <w:t>Public</w:t>
            </w:r>
            <w:r>
              <w:rPr>
                <w:rFonts w:cstheme="minorHAnsi"/>
                <w:b/>
                <w:sz w:val="18"/>
                <w:szCs w:val="18"/>
              </w:rPr>
              <w:t>s</w:t>
            </w:r>
            <w:r w:rsidRPr="006A7708">
              <w:rPr>
                <w:rFonts w:cstheme="minorHAnsi"/>
                <w:b/>
                <w:sz w:val="18"/>
                <w:szCs w:val="18"/>
              </w:rPr>
              <w:t xml:space="preserve"> bénéficiaire</w:t>
            </w:r>
            <w:r>
              <w:rPr>
                <w:rFonts w:cstheme="minorHAnsi"/>
                <w:b/>
                <w:sz w:val="18"/>
                <w:szCs w:val="18"/>
              </w:rPr>
              <w:t>s directs visés</w:t>
            </w:r>
            <w:r w:rsidRPr="006A7708">
              <w:rPr>
                <w:rFonts w:cstheme="minorHAnsi"/>
                <w:b/>
                <w:sz w:val="18"/>
                <w:szCs w:val="18"/>
              </w:rPr>
              <w:t xml:space="preserve"> : </w:t>
            </w:r>
          </w:p>
          <w:p w:rsidR="000B1E30" w:rsidRPr="00666311" w:rsidRDefault="000B1E30" w:rsidP="00697863">
            <w:pPr>
              <w:contextualSpacing/>
              <w:jc w:val="both"/>
              <w:rPr>
                <w:rFonts w:cstheme="minorHAnsi"/>
                <w:bCs/>
                <w:sz w:val="18"/>
                <w:szCs w:val="18"/>
              </w:rPr>
            </w:pPr>
            <w:r w:rsidRPr="00666311">
              <w:rPr>
                <w:rFonts w:cstheme="minorHAnsi"/>
                <w:bCs/>
                <w:sz w:val="18"/>
                <w:szCs w:val="18"/>
              </w:rPr>
              <w:t>Les bénéficiaires directs de ce projet sont des professionnels âgés de 16 ans et plus, tous sexes confondus (avec une surreprésentation de femmes attendue dans les services petite enfance et enfance notamment), travaillant dans les services petite enfance, enfance, jeunesse de collectivités, ou dans des associations œuvrant auprès de ces mêmes publics.</w:t>
            </w:r>
          </w:p>
          <w:p w:rsidR="000B1E30" w:rsidRPr="00666311" w:rsidRDefault="000B1E30" w:rsidP="00697863">
            <w:pPr>
              <w:contextualSpacing/>
              <w:jc w:val="both"/>
              <w:rPr>
                <w:rFonts w:cstheme="minorHAnsi"/>
                <w:sz w:val="18"/>
                <w:szCs w:val="18"/>
              </w:rPr>
            </w:pPr>
          </w:p>
          <w:p w:rsidR="000B1E30" w:rsidRPr="006A7708" w:rsidRDefault="000B1E30" w:rsidP="00697863">
            <w:pPr>
              <w:jc w:val="both"/>
              <w:rPr>
                <w:rFonts w:cstheme="minorHAnsi"/>
                <w:sz w:val="18"/>
                <w:szCs w:val="18"/>
              </w:rPr>
            </w:pPr>
            <w:r w:rsidRPr="006A7708">
              <w:rPr>
                <w:rFonts w:cstheme="minorHAnsi"/>
                <w:b/>
                <w:sz w:val="18"/>
                <w:szCs w:val="18"/>
              </w:rPr>
              <w:t>Partenaires</w:t>
            </w:r>
            <w:r>
              <w:rPr>
                <w:rFonts w:cstheme="minorHAnsi"/>
                <w:b/>
                <w:sz w:val="18"/>
                <w:szCs w:val="18"/>
              </w:rPr>
              <w:t xml:space="preserve"> du projet</w:t>
            </w:r>
            <w:r w:rsidRPr="006A7708">
              <w:rPr>
                <w:rFonts w:cstheme="minorHAnsi"/>
                <w:sz w:val="18"/>
                <w:szCs w:val="18"/>
              </w:rPr>
              <w:t xml:space="preserve"> : </w:t>
            </w:r>
          </w:p>
          <w:p w:rsidR="000B1E30" w:rsidRPr="007F6F0E" w:rsidRDefault="000B1E30" w:rsidP="00697863">
            <w:pPr>
              <w:jc w:val="both"/>
              <w:rPr>
                <w:rFonts w:cstheme="minorHAnsi"/>
                <w:sz w:val="18"/>
                <w:szCs w:val="18"/>
              </w:rPr>
            </w:pPr>
            <w:r w:rsidRPr="007F6F0E">
              <w:rPr>
                <w:rFonts w:cstheme="minorHAnsi"/>
                <w:bCs/>
                <w:sz w:val="18"/>
                <w:szCs w:val="18"/>
              </w:rPr>
              <w:t>Conseil Régional d'Ile-de-France</w:t>
            </w:r>
          </w:p>
          <w:p w:rsidR="000B1E30" w:rsidRPr="006A7708" w:rsidRDefault="000B1E30" w:rsidP="00697863">
            <w:pPr>
              <w:jc w:val="both"/>
              <w:rPr>
                <w:rFonts w:cstheme="minorHAnsi"/>
                <w:b/>
                <w:sz w:val="18"/>
                <w:szCs w:val="18"/>
              </w:rPr>
            </w:pPr>
          </w:p>
          <w:p w:rsidR="000B1E30" w:rsidRPr="006A7708" w:rsidRDefault="000B1E30" w:rsidP="00697863">
            <w:pPr>
              <w:jc w:val="both"/>
              <w:rPr>
                <w:rFonts w:cstheme="minorHAnsi"/>
                <w:b/>
                <w:sz w:val="18"/>
                <w:szCs w:val="18"/>
              </w:rPr>
            </w:pPr>
            <w:r w:rsidRPr="006A7708">
              <w:rPr>
                <w:rFonts w:cstheme="minorHAnsi"/>
                <w:b/>
                <w:sz w:val="18"/>
                <w:szCs w:val="18"/>
              </w:rPr>
              <w:t xml:space="preserve">Calendrier de l’expérimentation : </w:t>
            </w:r>
          </w:p>
          <w:p w:rsidR="000B1E30" w:rsidRPr="006A7708" w:rsidRDefault="000B1E30" w:rsidP="00697863">
            <w:pPr>
              <w:jc w:val="both"/>
              <w:rPr>
                <w:rFonts w:cstheme="minorHAnsi"/>
                <w:sz w:val="18"/>
                <w:szCs w:val="18"/>
              </w:rPr>
            </w:pPr>
            <w:r>
              <w:rPr>
                <w:rFonts w:cstheme="minorHAnsi"/>
                <w:sz w:val="18"/>
                <w:szCs w:val="18"/>
              </w:rPr>
              <w:t>01/09/2024 – 31/12/2027</w:t>
            </w:r>
          </w:p>
          <w:p w:rsidR="000B1E30" w:rsidRPr="006A7708" w:rsidRDefault="000B1E30" w:rsidP="00697863">
            <w:pPr>
              <w:jc w:val="both"/>
              <w:rPr>
                <w:rFonts w:cstheme="minorHAnsi"/>
                <w:sz w:val="18"/>
                <w:szCs w:val="18"/>
              </w:rPr>
            </w:pPr>
          </w:p>
          <w:p w:rsidR="000B1E30" w:rsidRPr="006A7708" w:rsidRDefault="000B1E30" w:rsidP="00697863">
            <w:pPr>
              <w:jc w:val="both"/>
              <w:rPr>
                <w:rFonts w:cstheme="minorHAnsi"/>
                <w:sz w:val="18"/>
                <w:szCs w:val="18"/>
              </w:rPr>
            </w:pPr>
            <w:r w:rsidRPr="006A7708">
              <w:rPr>
                <w:rFonts w:cstheme="minorHAnsi"/>
                <w:b/>
                <w:sz w:val="18"/>
                <w:szCs w:val="18"/>
              </w:rPr>
              <w:t>Budget total porteur</w:t>
            </w:r>
            <w:r w:rsidRPr="006A7708">
              <w:rPr>
                <w:rFonts w:cstheme="minorHAnsi"/>
                <w:sz w:val="18"/>
                <w:szCs w:val="18"/>
              </w:rPr>
              <w:t xml:space="preserve"> : </w:t>
            </w:r>
            <w:r>
              <w:rPr>
                <w:rFonts w:cstheme="minorHAnsi"/>
                <w:sz w:val="18"/>
                <w:szCs w:val="18"/>
              </w:rPr>
              <w:t xml:space="preserve">215 530€ dont 109 238 </w:t>
            </w:r>
            <w:r w:rsidRPr="006A7708">
              <w:rPr>
                <w:rFonts w:cstheme="minorHAnsi"/>
                <w:sz w:val="18"/>
                <w:szCs w:val="18"/>
              </w:rPr>
              <w:t>€ du FEJ</w:t>
            </w:r>
          </w:p>
          <w:p w:rsidR="000B1E30" w:rsidRPr="006A7708" w:rsidRDefault="000B1E30" w:rsidP="00697863">
            <w:pPr>
              <w:jc w:val="both"/>
              <w:rPr>
                <w:rFonts w:cstheme="minorHAnsi"/>
                <w:sz w:val="20"/>
                <w:szCs w:val="20"/>
              </w:rPr>
            </w:pPr>
            <w:r>
              <w:rPr>
                <w:rFonts w:cstheme="minorHAnsi"/>
                <w:sz w:val="20"/>
                <w:szCs w:val="20"/>
              </w:rPr>
              <w:t xml:space="preserve"> </w:t>
            </w:r>
          </w:p>
        </w:tc>
      </w:tr>
    </w:tbl>
    <w:p w:rsidR="00FB38CD" w:rsidRPr="000B1E30" w:rsidRDefault="00FB38CD" w:rsidP="000B1E30"/>
    <w:sectPr w:rsidR="00FB38CD" w:rsidRPr="000B1E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F6" w:rsidRDefault="00AE6EF6" w:rsidP="005803B4">
      <w:pPr>
        <w:spacing w:after="0" w:line="240" w:lineRule="auto"/>
      </w:pPr>
      <w:r>
        <w:separator/>
      </w:r>
    </w:p>
  </w:endnote>
  <w:endnote w:type="continuationSeparator" w:id="0">
    <w:p w:rsidR="00AE6EF6" w:rsidRDefault="00AE6EF6" w:rsidP="0058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F6" w:rsidRDefault="00AE6EF6" w:rsidP="005803B4">
      <w:pPr>
        <w:spacing w:after="0" w:line="240" w:lineRule="auto"/>
      </w:pPr>
      <w:r>
        <w:separator/>
      </w:r>
    </w:p>
  </w:footnote>
  <w:footnote w:type="continuationSeparator" w:id="0">
    <w:p w:rsidR="00AE6EF6" w:rsidRDefault="00AE6EF6" w:rsidP="0058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0BD"/>
    <w:multiLevelType w:val="hybridMultilevel"/>
    <w:tmpl w:val="F92CCC80"/>
    <w:lvl w:ilvl="0" w:tplc="7BE0DC0A">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45E2086"/>
    <w:multiLevelType w:val="hybridMultilevel"/>
    <w:tmpl w:val="D27A37B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9687F"/>
    <w:multiLevelType w:val="hybridMultilevel"/>
    <w:tmpl w:val="2AF66668"/>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66605"/>
    <w:multiLevelType w:val="hybridMultilevel"/>
    <w:tmpl w:val="11E4A7EA"/>
    <w:lvl w:ilvl="0" w:tplc="7BE0DC0A">
      <w:start w:val="1"/>
      <w:numFmt w:val="bullet"/>
      <w:lvlText w:val="-"/>
      <w:lvlJc w:val="left"/>
      <w:pPr>
        <w:ind w:left="1080" w:hanging="360"/>
      </w:pPr>
      <w:rPr>
        <w:rFonts w:ascii="Calibri" w:eastAsiaTheme="minorHAnsi" w:hAnsi="Calibri" w:cs="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A383266"/>
    <w:multiLevelType w:val="hybridMultilevel"/>
    <w:tmpl w:val="52F0498C"/>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702F89"/>
    <w:multiLevelType w:val="hybridMultilevel"/>
    <w:tmpl w:val="9E0CD84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327102"/>
    <w:multiLevelType w:val="hybridMultilevel"/>
    <w:tmpl w:val="6D9EA66E"/>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503B36"/>
    <w:multiLevelType w:val="hybridMultilevel"/>
    <w:tmpl w:val="A718F20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203EDC"/>
    <w:multiLevelType w:val="hybridMultilevel"/>
    <w:tmpl w:val="A1D29DD6"/>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90422E"/>
    <w:multiLevelType w:val="hybridMultilevel"/>
    <w:tmpl w:val="438018DC"/>
    <w:lvl w:ilvl="0" w:tplc="7BE0DC0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D34CE6"/>
    <w:multiLevelType w:val="hybridMultilevel"/>
    <w:tmpl w:val="C6483B8A"/>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0515EF"/>
    <w:multiLevelType w:val="hybridMultilevel"/>
    <w:tmpl w:val="64D24DD6"/>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75055A"/>
    <w:multiLevelType w:val="hybridMultilevel"/>
    <w:tmpl w:val="075C989A"/>
    <w:lvl w:ilvl="0" w:tplc="7BE0DC0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31287F"/>
    <w:multiLevelType w:val="hybridMultilevel"/>
    <w:tmpl w:val="0C740112"/>
    <w:lvl w:ilvl="0" w:tplc="7BE0DC0A">
      <w:start w:val="1"/>
      <w:numFmt w:val="bullet"/>
      <w:lvlText w:val="-"/>
      <w:lvlJc w:val="left"/>
      <w:pPr>
        <w:ind w:left="720" w:hanging="360"/>
      </w:pPr>
      <w:rPr>
        <w:rFonts w:ascii="Calibri" w:eastAsiaTheme="minorHAnsi" w:hAnsi="Calibri" w:cs="Calibri" w:hint="default"/>
      </w:rPr>
    </w:lvl>
    <w:lvl w:ilvl="1" w:tplc="8AEE69B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BB5822"/>
    <w:multiLevelType w:val="hybridMultilevel"/>
    <w:tmpl w:val="948EB524"/>
    <w:lvl w:ilvl="0" w:tplc="7BE0DC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12"/>
  </w:num>
  <w:num w:numId="5">
    <w:abstractNumId w:val="1"/>
  </w:num>
  <w:num w:numId="6">
    <w:abstractNumId w:val="10"/>
  </w:num>
  <w:num w:numId="7">
    <w:abstractNumId w:val="2"/>
  </w:num>
  <w:num w:numId="8">
    <w:abstractNumId w:val="0"/>
  </w:num>
  <w:num w:numId="9">
    <w:abstractNumId w:val="13"/>
  </w:num>
  <w:num w:numId="10">
    <w:abstractNumId w:val="11"/>
  </w:num>
  <w:num w:numId="11">
    <w:abstractNumId w:val="9"/>
  </w:num>
  <w:num w:numId="12">
    <w:abstractNumId w:val="7"/>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4"/>
    <w:rsid w:val="000B1E30"/>
    <w:rsid w:val="002F1748"/>
    <w:rsid w:val="00373B0C"/>
    <w:rsid w:val="005803B4"/>
    <w:rsid w:val="00682F5C"/>
    <w:rsid w:val="006B1450"/>
    <w:rsid w:val="008C4C5D"/>
    <w:rsid w:val="00AE6EF6"/>
    <w:rsid w:val="00E75615"/>
    <w:rsid w:val="00EF21E7"/>
    <w:rsid w:val="00FB3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B63"/>
  <w15:chartTrackingRefBased/>
  <w15:docId w15:val="{97E6ED2E-2FF4-47E9-8476-802C7F4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03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3B4"/>
    <w:pPr>
      <w:ind w:left="720"/>
      <w:contextualSpacing/>
    </w:pPr>
  </w:style>
  <w:style w:type="paragraph" w:styleId="En-tte">
    <w:name w:val="header"/>
    <w:basedOn w:val="Normal"/>
    <w:link w:val="En-tteCar"/>
    <w:uiPriority w:val="99"/>
    <w:unhideWhenUsed/>
    <w:rsid w:val="005803B4"/>
    <w:pPr>
      <w:tabs>
        <w:tab w:val="center" w:pos="4536"/>
        <w:tab w:val="right" w:pos="9072"/>
      </w:tabs>
      <w:spacing w:after="0" w:line="240" w:lineRule="auto"/>
    </w:pPr>
  </w:style>
  <w:style w:type="character" w:customStyle="1" w:styleId="En-tteCar">
    <w:name w:val="En-tête Car"/>
    <w:basedOn w:val="Policepardfaut"/>
    <w:link w:val="En-tte"/>
    <w:uiPriority w:val="99"/>
    <w:rsid w:val="005803B4"/>
  </w:style>
  <w:style w:type="paragraph" w:styleId="Pieddepage">
    <w:name w:val="footer"/>
    <w:basedOn w:val="Normal"/>
    <w:link w:val="PieddepageCar"/>
    <w:uiPriority w:val="99"/>
    <w:unhideWhenUsed/>
    <w:rsid w:val="00580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3B4"/>
  </w:style>
  <w:style w:type="table" w:customStyle="1" w:styleId="Grilledutableau1">
    <w:name w:val="Grille du tableau1"/>
    <w:basedOn w:val="TableauNormal"/>
    <w:next w:val="Grilledutableau"/>
    <w:uiPriority w:val="39"/>
    <w:rsid w:val="00EF21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2418</Characters>
  <Application>Microsoft Office Word</Application>
  <DocSecurity>0</DocSecurity>
  <Lines>52</Lines>
  <Paragraphs>30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MOLNAR</dc:creator>
  <cp:keywords/>
  <dc:description/>
  <cp:lastModifiedBy>JULIE MOLNAR</cp:lastModifiedBy>
  <cp:revision>2</cp:revision>
  <dcterms:created xsi:type="dcterms:W3CDTF">2024-06-07T08:53:00Z</dcterms:created>
  <dcterms:modified xsi:type="dcterms:W3CDTF">2024-06-07T08:53:00Z</dcterms:modified>
</cp:coreProperties>
</file>