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E7" w:rsidRDefault="00EF21E7" w:rsidP="00EF21E7">
      <w:pPr>
        <w:tabs>
          <w:tab w:val="left" w:pos="1333"/>
        </w:tabs>
        <w:spacing w:after="200" w:line="276" w:lineRule="auto"/>
        <w:jc w:val="both"/>
        <w:rPr>
          <w:rFonts w:cstheme="minorHAnsi"/>
          <w:sz w:val="20"/>
          <w:szCs w:val="20"/>
          <w:lang w:eastAsia="fr-FR"/>
        </w:rPr>
      </w:pP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F21E7" w:rsidRPr="006A7708" w:rsidTr="00697863">
        <w:trPr>
          <w:trHeight w:val="55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F21E7" w:rsidRPr="006A7708" w:rsidRDefault="00EF21E7" w:rsidP="00697863">
            <w:pPr>
              <w:spacing w:line="25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r w:rsidRPr="00D21D5D">
              <w:rPr>
                <w:rFonts w:cstheme="minorHAnsi"/>
                <w:b/>
                <w:sz w:val="28"/>
                <w:szCs w:val="28"/>
              </w:rPr>
              <w:t>Mairie de Clamart</w:t>
            </w:r>
          </w:p>
          <w:bookmarkEnd w:id="0"/>
          <w:p w:rsidR="00EF21E7" w:rsidRPr="006A7708" w:rsidRDefault="00EF21E7" w:rsidP="00697863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(APEGA_ 05</w:t>
            </w:r>
            <w:r w:rsidRPr="006A7708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F21E7" w:rsidRPr="006A7708" w:rsidTr="006978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E7" w:rsidRPr="006A7708" w:rsidRDefault="00EF21E7" w:rsidP="00697863">
            <w:pPr>
              <w:spacing w:line="256" w:lineRule="auto"/>
              <w:jc w:val="center"/>
              <w:rPr>
                <w:rFonts w:cstheme="minorHAnsi"/>
                <w:b/>
                <w:color w:val="002060"/>
              </w:rPr>
            </w:pPr>
            <w:r w:rsidRPr="00302B67">
              <w:rPr>
                <w:rFonts w:cstheme="minorHAnsi"/>
                <w:b/>
                <w:color w:val="002060"/>
              </w:rPr>
              <w:t>L’Egalité filles-garçons, un enjeu majeur de formation </w:t>
            </w:r>
          </w:p>
          <w:p w:rsidR="00EF21E7" w:rsidRDefault="00EF21E7" w:rsidP="00697863">
            <w:pPr>
              <w:spacing w:line="256" w:lineRule="auto"/>
              <w:jc w:val="center"/>
              <w:rPr>
                <w:rFonts w:cstheme="minorHAnsi"/>
                <w:b/>
                <w:color w:val="002060"/>
              </w:rPr>
            </w:pPr>
          </w:p>
          <w:p w:rsidR="00EF21E7" w:rsidRDefault="00EF21E7" w:rsidP="00697863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0483E">
              <w:rPr>
                <w:rFonts w:cstheme="minorHAnsi"/>
                <w:b/>
                <w:sz w:val="18"/>
                <w:szCs w:val="18"/>
              </w:rPr>
              <w:t>Axe</w:t>
            </w:r>
            <w:r>
              <w:rPr>
                <w:rFonts w:cstheme="minorHAnsi"/>
                <w:b/>
                <w:sz w:val="18"/>
                <w:szCs w:val="18"/>
              </w:rPr>
              <w:t xml:space="preserve"> 1</w:t>
            </w:r>
            <w:r w:rsidRPr="0060483E">
              <w:rPr>
                <w:rFonts w:cstheme="minorHAnsi"/>
                <w:b/>
                <w:sz w:val="18"/>
                <w:szCs w:val="18"/>
              </w:rPr>
              <w:t> 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0483E">
              <w:rPr>
                <w:rFonts w:cstheme="minorHAnsi"/>
                <w:b/>
                <w:sz w:val="18"/>
                <w:szCs w:val="18"/>
              </w:rPr>
              <w:t>Sensibiliser et former les professionnels et l’ensemble des acteurs de la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0483E">
              <w:rPr>
                <w:rFonts w:cstheme="minorHAnsi"/>
                <w:b/>
                <w:sz w:val="18"/>
                <w:szCs w:val="18"/>
              </w:rPr>
              <w:t>communauté éducative à l’égalité filles‐garçons</w:t>
            </w:r>
          </w:p>
          <w:p w:rsidR="00EF21E7" w:rsidRPr="006A7708" w:rsidRDefault="00EF21E7" w:rsidP="00697863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</w:p>
          <w:p w:rsidR="00EF21E7" w:rsidRPr="006A7708" w:rsidRDefault="00EF21E7" w:rsidP="00697863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>Présentation du projet :</w:t>
            </w:r>
          </w:p>
          <w:p w:rsidR="00EF21E7" w:rsidRPr="00FF3670" w:rsidRDefault="00EF21E7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FF3670">
              <w:rPr>
                <w:rFonts w:cstheme="minorHAnsi"/>
                <w:sz w:val="18"/>
                <w:szCs w:val="18"/>
              </w:rPr>
              <w:t>La Ville de Clamart souhaite renforcer les plans d’actions engagés en matière d’égalité hommes-femmes en proposant la création d’un parcours de formation sur 3 ans à destination de tous les agents en lien avec les enfants et les adolescents.</w:t>
            </w:r>
          </w:p>
          <w:p w:rsidR="00EF21E7" w:rsidRPr="00425C93" w:rsidRDefault="00EF21E7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425C93">
              <w:rPr>
                <w:rFonts w:cstheme="minorHAnsi"/>
                <w:sz w:val="18"/>
                <w:szCs w:val="18"/>
              </w:rPr>
              <w:t>Ce parcours se déclinera en plusieurs étapes :</w:t>
            </w:r>
          </w:p>
          <w:p w:rsidR="00EF21E7" w:rsidRPr="00C417CB" w:rsidRDefault="00EF21E7" w:rsidP="00EF21E7">
            <w:pPr>
              <w:pStyle w:val="Paragraphedeliste"/>
              <w:numPr>
                <w:ilvl w:val="1"/>
                <w:numId w:val="11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C417CB">
              <w:rPr>
                <w:rFonts w:cstheme="minorHAnsi"/>
                <w:sz w:val="18"/>
                <w:szCs w:val="18"/>
              </w:rPr>
              <w:t xml:space="preserve">La nomination de 54 référents thématiques au sein de l’ensemble des structures impliquées dans le projet : </w:t>
            </w:r>
            <w:r>
              <w:rPr>
                <w:rFonts w:cstheme="minorHAnsi"/>
                <w:sz w:val="18"/>
                <w:szCs w:val="18"/>
              </w:rPr>
              <w:t>accueil de loisirs sans hébergement (A</w:t>
            </w:r>
            <w:r w:rsidRPr="00C417CB">
              <w:rPr>
                <w:rFonts w:cstheme="minorHAnsi"/>
                <w:sz w:val="18"/>
                <w:szCs w:val="18"/>
              </w:rPr>
              <w:t>LSH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417CB">
              <w:rPr>
                <w:rFonts w:cstheme="minorHAnsi"/>
                <w:sz w:val="18"/>
                <w:szCs w:val="18"/>
              </w:rPr>
              <w:t xml:space="preserve">, Service jeunesse, Service des sports, CSC Pavé Blanc. Les référents bénéficieront d’un programme </w:t>
            </w:r>
            <w:r>
              <w:rPr>
                <w:rFonts w:cstheme="minorHAnsi"/>
                <w:sz w:val="18"/>
                <w:szCs w:val="18"/>
              </w:rPr>
              <w:t>de formation renforcé sur 3 ans ;</w:t>
            </w:r>
          </w:p>
          <w:p w:rsidR="00EF21E7" w:rsidRPr="00C417CB" w:rsidRDefault="00EF21E7" w:rsidP="00EF21E7">
            <w:pPr>
              <w:pStyle w:val="Paragraphedeliste"/>
              <w:numPr>
                <w:ilvl w:val="1"/>
                <w:numId w:val="11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C417CB">
              <w:rPr>
                <w:rFonts w:cstheme="minorHAnsi"/>
                <w:sz w:val="18"/>
                <w:szCs w:val="18"/>
              </w:rPr>
              <w:t xml:space="preserve">La mise en œuvre de sessions de sensibilisation à l’égalité filles-garçons à destination de tous les animateurs périscolaires et extrascolaires réalisées par le CIDFF, </w:t>
            </w:r>
            <w:proofErr w:type="spellStart"/>
            <w:r w:rsidRPr="00C417CB">
              <w:rPr>
                <w:rFonts w:cstheme="minorHAnsi"/>
                <w:sz w:val="18"/>
                <w:szCs w:val="18"/>
              </w:rPr>
              <w:t>Hally</w:t>
            </w:r>
            <w:proofErr w:type="spellEnd"/>
            <w:r w:rsidRPr="00C417CB">
              <w:rPr>
                <w:rFonts w:cstheme="minorHAnsi"/>
                <w:sz w:val="18"/>
                <w:szCs w:val="18"/>
              </w:rPr>
              <w:t>, le CNF</w:t>
            </w:r>
            <w:r>
              <w:rPr>
                <w:rFonts w:cstheme="minorHAnsi"/>
                <w:sz w:val="18"/>
                <w:szCs w:val="18"/>
              </w:rPr>
              <w:t>PT et les référents thématiques ;</w:t>
            </w:r>
          </w:p>
          <w:p w:rsidR="00EF21E7" w:rsidRPr="00C417CB" w:rsidRDefault="00EF21E7" w:rsidP="00EF21E7">
            <w:pPr>
              <w:pStyle w:val="Paragraphedeliste"/>
              <w:numPr>
                <w:ilvl w:val="1"/>
                <w:numId w:val="11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C417CB">
              <w:rPr>
                <w:rFonts w:cstheme="minorHAnsi"/>
                <w:sz w:val="18"/>
                <w:szCs w:val="18"/>
              </w:rPr>
              <w:t>La mise en œuvre de sessions de renforcement à destination des référents thématiques, des sessions d’approfondissement pour les animateurs déjà formés et la formation des agents nouvellement recrutés.</w:t>
            </w:r>
          </w:p>
          <w:p w:rsidR="00EF21E7" w:rsidRPr="00425C93" w:rsidRDefault="00EF21E7" w:rsidP="00697863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</w:p>
          <w:p w:rsidR="00EF21E7" w:rsidRDefault="00EF21E7" w:rsidP="00697863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>Objectifs</w:t>
            </w:r>
            <w:r>
              <w:rPr>
                <w:rFonts w:cstheme="minorHAnsi"/>
                <w:b/>
                <w:sz w:val="18"/>
                <w:szCs w:val="18"/>
              </w:rPr>
              <w:t xml:space="preserve"> du projet </w:t>
            </w:r>
            <w:r w:rsidRPr="006A7708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  <w:p w:rsidR="00EF21E7" w:rsidRPr="00415656" w:rsidRDefault="00EF21E7" w:rsidP="00697863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415656">
              <w:rPr>
                <w:rFonts w:cstheme="minorHAnsi"/>
                <w:i/>
                <w:sz w:val="18"/>
                <w:szCs w:val="18"/>
              </w:rPr>
              <w:t xml:space="preserve">Objectifs </w:t>
            </w:r>
            <w:r>
              <w:rPr>
                <w:rFonts w:cstheme="minorHAnsi"/>
                <w:i/>
                <w:sz w:val="18"/>
                <w:szCs w:val="18"/>
              </w:rPr>
              <w:t>général</w:t>
            </w:r>
            <w:r w:rsidRPr="00415656">
              <w:rPr>
                <w:rFonts w:cstheme="minorHAnsi"/>
                <w:i/>
                <w:sz w:val="18"/>
                <w:szCs w:val="18"/>
              </w:rPr>
              <w:t> 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15656">
              <w:rPr>
                <w:rFonts w:cstheme="minorHAnsi"/>
                <w:sz w:val="18"/>
                <w:szCs w:val="18"/>
              </w:rPr>
              <w:t>Permettre à l’ensemble des professionnels des temps péri et extrascolaires de se former sur l’égalité filles-garçons, la déconstruction des stéréotypes de genre et la prévention des violences sexistes et sexuelles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EF21E7" w:rsidRPr="00415656" w:rsidRDefault="00EF21E7" w:rsidP="00697863">
            <w:pPr>
              <w:spacing w:line="256" w:lineRule="auto"/>
              <w:rPr>
                <w:rFonts w:cstheme="minorHAnsi"/>
                <w:i/>
                <w:sz w:val="18"/>
                <w:szCs w:val="18"/>
              </w:rPr>
            </w:pPr>
            <w:r w:rsidRPr="00415656">
              <w:rPr>
                <w:rFonts w:cstheme="minorHAnsi"/>
                <w:i/>
                <w:sz w:val="18"/>
                <w:szCs w:val="18"/>
              </w:rPr>
              <w:t xml:space="preserve">Objectifs spécifiques : </w:t>
            </w:r>
          </w:p>
          <w:p w:rsidR="00EF21E7" w:rsidRPr="00FF3670" w:rsidRDefault="00EF21E7" w:rsidP="00EF21E7">
            <w:pPr>
              <w:pStyle w:val="Paragraphedeliste"/>
              <w:numPr>
                <w:ilvl w:val="0"/>
                <w:numId w:val="12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FF3670">
              <w:rPr>
                <w:rFonts w:cstheme="minorHAnsi"/>
                <w:bCs/>
                <w:sz w:val="18"/>
                <w:szCs w:val="18"/>
              </w:rPr>
              <w:t>Travailler le positionnement et la posture de l’adulte sur les sujets de l’égalité filles-garçons, la déconstruction des stéréotypes de genre et la prévention des violences sexistes et sexuelles</w:t>
            </w:r>
            <w:r>
              <w:rPr>
                <w:rFonts w:cstheme="minorHAnsi"/>
                <w:bCs/>
                <w:sz w:val="18"/>
                <w:szCs w:val="18"/>
              </w:rPr>
              <w:t> ;</w:t>
            </w:r>
          </w:p>
          <w:p w:rsidR="00EF21E7" w:rsidRPr="00FF3670" w:rsidRDefault="00EF21E7" w:rsidP="00EF21E7">
            <w:pPr>
              <w:pStyle w:val="Paragraphedeliste"/>
              <w:numPr>
                <w:ilvl w:val="0"/>
                <w:numId w:val="12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FF3670">
              <w:rPr>
                <w:rFonts w:cstheme="minorHAnsi"/>
                <w:bCs/>
                <w:sz w:val="18"/>
                <w:szCs w:val="18"/>
              </w:rPr>
              <w:t>Accompagner la construction des projets pédagogiques et sportifs menés avec le jeune public et les familles des bénéficiaires pour intégrer dès le travail préparatoire les notions d’égalité filles-garçons, de stéréotypes du genre et de prévention des violences sexistes et sexuelles</w:t>
            </w:r>
            <w:r>
              <w:rPr>
                <w:rFonts w:cstheme="minorHAnsi"/>
                <w:bCs/>
                <w:sz w:val="18"/>
                <w:szCs w:val="18"/>
              </w:rPr>
              <w:t> ;</w:t>
            </w:r>
          </w:p>
          <w:p w:rsidR="00EF21E7" w:rsidRPr="00FF3670" w:rsidRDefault="00EF21E7" w:rsidP="00EF21E7">
            <w:pPr>
              <w:pStyle w:val="Paragraphedeliste"/>
              <w:numPr>
                <w:ilvl w:val="0"/>
                <w:numId w:val="12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FF3670">
              <w:rPr>
                <w:rFonts w:cstheme="minorHAnsi"/>
                <w:bCs/>
                <w:sz w:val="18"/>
                <w:szCs w:val="18"/>
              </w:rPr>
              <w:t>Créer un parcours de formation interne pour permettre chaque année à l’ensemble des nouveaux agents en contact avec le jeune public sur les temps péri et extrascolaire de se former aux thématiques de l’égalité filles-garçons, des stéréotypes de genre et à la prévention des violences sexistes et sexuelles. </w:t>
            </w:r>
          </w:p>
          <w:p w:rsidR="00EF21E7" w:rsidRPr="006A7708" w:rsidRDefault="00EF21E7" w:rsidP="00697863">
            <w:pPr>
              <w:spacing w:line="256" w:lineRule="auto"/>
              <w:ind w:left="72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EF21E7" w:rsidRPr="006A7708" w:rsidRDefault="00EF21E7" w:rsidP="00697863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>Actions menées</w:t>
            </w:r>
            <w:r>
              <w:rPr>
                <w:rFonts w:cstheme="minorHAnsi"/>
                <w:b/>
                <w:sz w:val="18"/>
                <w:szCs w:val="18"/>
              </w:rPr>
              <w:t> :</w:t>
            </w:r>
          </w:p>
          <w:p w:rsidR="00EF21E7" w:rsidRPr="00B967BC" w:rsidRDefault="00EF21E7" w:rsidP="00EF21E7">
            <w:pPr>
              <w:pStyle w:val="Paragraphedeliste"/>
              <w:numPr>
                <w:ilvl w:val="0"/>
                <w:numId w:val="13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B967BC">
              <w:rPr>
                <w:rFonts w:cstheme="minorHAnsi"/>
                <w:sz w:val="18"/>
                <w:szCs w:val="18"/>
              </w:rPr>
              <w:t xml:space="preserve">Mise en œuvre de sessions de sensibilisation et de formation à l’égalité filles-garçons, </w:t>
            </w:r>
            <w:r w:rsidRPr="00B967BC">
              <w:rPr>
                <w:rFonts w:cstheme="minorHAnsi"/>
                <w:bCs/>
                <w:sz w:val="18"/>
                <w:szCs w:val="18"/>
              </w:rPr>
              <w:t>de la déconstruction des stéréotypes de genre et de la prévention des violences sexistes et sexuelles</w:t>
            </w:r>
            <w:r>
              <w:rPr>
                <w:rFonts w:cstheme="minorHAnsi"/>
                <w:bCs/>
                <w:sz w:val="18"/>
                <w:szCs w:val="18"/>
              </w:rPr>
              <w:t> ;</w:t>
            </w:r>
          </w:p>
          <w:p w:rsidR="00EF21E7" w:rsidRPr="00B967BC" w:rsidRDefault="00EF21E7" w:rsidP="00EF21E7">
            <w:pPr>
              <w:pStyle w:val="Paragraphedeliste"/>
              <w:numPr>
                <w:ilvl w:val="0"/>
                <w:numId w:val="13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B967BC">
              <w:rPr>
                <w:rFonts w:cstheme="minorHAnsi"/>
                <w:sz w:val="18"/>
                <w:szCs w:val="18"/>
              </w:rPr>
              <w:t>Mise en œuvre de sessions de formation à destination des encadrants Jeunesse et Sports de la Ville afin qu’ils intègrent l’égalité filles-garçons dans les projets pédagogiques et sportifs de leurs structures</w:t>
            </w:r>
            <w:r>
              <w:rPr>
                <w:rFonts w:cstheme="minorHAnsi"/>
                <w:sz w:val="18"/>
                <w:szCs w:val="18"/>
              </w:rPr>
              <w:t> ;</w:t>
            </w:r>
          </w:p>
          <w:p w:rsidR="00EF21E7" w:rsidRPr="00B967BC" w:rsidRDefault="00EF21E7" w:rsidP="00EF21E7">
            <w:pPr>
              <w:pStyle w:val="Paragraphedeliste"/>
              <w:numPr>
                <w:ilvl w:val="0"/>
                <w:numId w:val="13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B967BC">
              <w:rPr>
                <w:rFonts w:cstheme="minorHAnsi"/>
                <w:bCs/>
                <w:sz w:val="18"/>
                <w:szCs w:val="18"/>
              </w:rPr>
              <w:t xml:space="preserve">Réalisation et mise en œuvre d’un parcours de formation interne à destination des agents nouvellement recrutés en contact avec le jeune public sur les temps périscolaire et extrascolaire relevant des thématiques </w:t>
            </w:r>
            <w:r>
              <w:rPr>
                <w:rFonts w:cstheme="minorHAnsi"/>
                <w:bCs/>
                <w:sz w:val="18"/>
                <w:szCs w:val="18"/>
              </w:rPr>
              <w:t>liées à</w:t>
            </w:r>
            <w:r w:rsidRPr="00B967BC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l’égalité filles-garçons, l</w:t>
            </w:r>
            <w:r w:rsidRPr="00B967BC">
              <w:rPr>
                <w:rFonts w:cstheme="minorHAnsi"/>
                <w:bCs/>
                <w:sz w:val="18"/>
                <w:szCs w:val="18"/>
              </w:rPr>
              <w:t>es stéréotypes de genre et à la prévention des violences sexistes et sexuelles. </w:t>
            </w:r>
          </w:p>
          <w:p w:rsidR="00EF21E7" w:rsidRPr="00B967BC" w:rsidRDefault="00EF21E7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EF21E7" w:rsidRPr="006A7708" w:rsidRDefault="00EF21E7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>Territoire d’expérimentation</w:t>
            </w:r>
            <w:r w:rsidRPr="006A7708">
              <w:rPr>
                <w:rFonts w:cstheme="minorHAnsi"/>
                <w:sz w:val="18"/>
                <w:szCs w:val="18"/>
              </w:rPr>
              <w:t xml:space="preserve"> : </w:t>
            </w:r>
          </w:p>
          <w:p w:rsidR="00EF21E7" w:rsidRDefault="00EF21E7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Ville de Clamart</w:t>
            </w:r>
          </w:p>
          <w:p w:rsidR="00EF21E7" w:rsidRPr="006A7708" w:rsidRDefault="00EF21E7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EF21E7" w:rsidRPr="006A7708" w:rsidRDefault="00EF21E7" w:rsidP="0069786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>Public</w:t>
            </w:r>
            <w:r>
              <w:rPr>
                <w:rFonts w:cstheme="minorHAnsi"/>
                <w:b/>
                <w:sz w:val="18"/>
                <w:szCs w:val="18"/>
              </w:rPr>
              <w:t>s</w:t>
            </w:r>
            <w:r w:rsidRPr="006A7708">
              <w:rPr>
                <w:rFonts w:cstheme="minorHAnsi"/>
                <w:b/>
                <w:sz w:val="18"/>
                <w:szCs w:val="18"/>
              </w:rPr>
              <w:t xml:space="preserve"> bénéficiaire</w:t>
            </w:r>
            <w:r>
              <w:rPr>
                <w:rFonts w:cstheme="minorHAnsi"/>
                <w:b/>
                <w:sz w:val="18"/>
                <w:szCs w:val="18"/>
              </w:rPr>
              <w:t>s directs visés</w:t>
            </w:r>
            <w:r w:rsidRPr="006A7708">
              <w:rPr>
                <w:rFonts w:cstheme="minorHAnsi"/>
                <w:b/>
                <w:sz w:val="18"/>
                <w:szCs w:val="18"/>
              </w:rPr>
              <w:t xml:space="preserve"> : </w:t>
            </w:r>
          </w:p>
          <w:p w:rsidR="00EF21E7" w:rsidRPr="006A7708" w:rsidRDefault="00EF21E7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Les </w:t>
            </w:r>
            <w:r w:rsidRPr="00860EE4">
              <w:rPr>
                <w:rFonts w:cstheme="minorHAnsi"/>
                <w:sz w:val="18"/>
                <w:szCs w:val="18"/>
              </w:rPr>
              <w:t>animateurs péri</w:t>
            </w:r>
            <w:r>
              <w:rPr>
                <w:rFonts w:cstheme="minorHAnsi"/>
                <w:sz w:val="18"/>
                <w:szCs w:val="18"/>
              </w:rPr>
              <w:t>scolaires et extrascolaires, les éducateurs sportifs, les</w:t>
            </w:r>
            <w:r w:rsidRPr="00860EE4">
              <w:rPr>
                <w:rFonts w:cstheme="minorHAnsi"/>
                <w:sz w:val="18"/>
                <w:szCs w:val="18"/>
              </w:rPr>
              <w:t xml:space="preserve"> chargés de mission du service </w:t>
            </w:r>
            <w:r>
              <w:rPr>
                <w:rFonts w:cstheme="minorHAnsi"/>
                <w:sz w:val="18"/>
                <w:szCs w:val="18"/>
              </w:rPr>
              <w:t>Jeunesse et aux agents du Centre Socioculturel du Pavé Blanc, l</w:t>
            </w:r>
            <w:r w:rsidRPr="00860EE4">
              <w:rPr>
                <w:rFonts w:cstheme="minorHAnsi"/>
                <w:sz w:val="18"/>
                <w:szCs w:val="18"/>
              </w:rPr>
              <w:t>a ludothèque</w:t>
            </w:r>
            <w:r>
              <w:rPr>
                <w:rFonts w:cstheme="minorHAnsi"/>
                <w:sz w:val="18"/>
                <w:szCs w:val="18"/>
              </w:rPr>
              <w:t xml:space="preserve"> du Centre Socioculturel du Pavé Blanc</w:t>
            </w:r>
            <w:r w:rsidRPr="00860EE4">
              <w:rPr>
                <w:rFonts w:cstheme="minorHAnsi"/>
                <w:sz w:val="18"/>
                <w:szCs w:val="18"/>
              </w:rPr>
              <w:t>.</w:t>
            </w:r>
          </w:p>
          <w:p w:rsidR="00EF21E7" w:rsidRPr="006A7708" w:rsidRDefault="00EF21E7" w:rsidP="00697863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  <w:p w:rsidR="00EF21E7" w:rsidRPr="006A7708" w:rsidRDefault="00EF21E7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>Partenaires</w:t>
            </w:r>
            <w:r w:rsidRPr="006A7708">
              <w:rPr>
                <w:rFonts w:cstheme="minorHAnsi"/>
                <w:sz w:val="18"/>
                <w:szCs w:val="18"/>
              </w:rPr>
              <w:t xml:space="preserve"> : </w:t>
            </w:r>
          </w:p>
          <w:p w:rsidR="00EF21E7" w:rsidRDefault="00EF21E7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 </w:t>
            </w:r>
            <w:r w:rsidRPr="00863057">
              <w:rPr>
                <w:rFonts w:cstheme="minorHAnsi"/>
                <w:sz w:val="18"/>
                <w:szCs w:val="18"/>
              </w:rPr>
              <w:t xml:space="preserve">Centre </w:t>
            </w:r>
            <w:proofErr w:type="spellStart"/>
            <w:r w:rsidRPr="00863057">
              <w:rPr>
                <w:rFonts w:cstheme="minorHAnsi"/>
                <w:sz w:val="18"/>
                <w:szCs w:val="18"/>
              </w:rPr>
              <w:t>Hubertine</w:t>
            </w:r>
            <w:proofErr w:type="spellEnd"/>
            <w:r w:rsidRPr="0086305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63057">
              <w:rPr>
                <w:rFonts w:cstheme="minorHAnsi"/>
                <w:sz w:val="18"/>
                <w:szCs w:val="18"/>
              </w:rPr>
              <w:t>Auclert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le </w:t>
            </w:r>
            <w:r w:rsidRPr="00863057">
              <w:rPr>
                <w:rFonts w:cstheme="minorHAnsi"/>
                <w:sz w:val="18"/>
                <w:szCs w:val="18"/>
              </w:rPr>
              <w:t>CIDFF 92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863057">
              <w:rPr>
                <w:rFonts w:cstheme="minorHAnsi"/>
                <w:sz w:val="18"/>
                <w:szCs w:val="18"/>
              </w:rPr>
              <w:t>Hally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le </w:t>
            </w:r>
            <w:r w:rsidRPr="00863057">
              <w:rPr>
                <w:rFonts w:cstheme="minorHAnsi"/>
                <w:sz w:val="18"/>
                <w:szCs w:val="18"/>
              </w:rPr>
              <w:t>CNFPT</w:t>
            </w:r>
            <w:r>
              <w:rPr>
                <w:rFonts w:cstheme="minorHAnsi"/>
                <w:sz w:val="18"/>
                <w:szCs w:val="18"/>
              </w:rPr>
              <w:t>, l’IFAC</w:t>
            </w:r>
          </w:p>
          <w:p w:rsidR="006B1450" w:rsidRPr="006A7708" w:rsidRDefault="006B1450" w:rsidP="0069786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EF21E7" w:rsidRPr="006B1450" w:rsidRDefault="00EF21E7" w:rsidP="0069786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 xml:space="preserve">Calendrier de l’expérimentation : </w:t>
            </w:r>
            <w:r>
              <w:rPr>
                <w:rFonts w:cstheme="minorHAnsi"/>
                <w:sz w:val="18"/>
                <w:szCs w:val="18"/>
              </w:rPr>
              <w:t>01/09/2024 – 30/06/2027</w:t>
            </w:r>
          </w:p>
          <w:p w:rsidR="00EF21E7" w:rsidRPr="00EF21E7" w:rsidRDefault="00EF21E7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 w:rsidRPr="006A7708">
              <w:rPr>
                <w:rFonts w:cstheme="minorHAnsi"/>
                <w:b/>
                <w:sz w:val="18"/>
                <w:szCs w:val="18"/>
              </w:rPr>
              <w:t>Budget total porteur</w:t>
            </w:r>
            <w:r w:rsidRPr="006A7708">
              <w:rPr>
                <w:rFonts w:cstheme="minorHAnsi"/>
                <w:sz w:val="18"/>
                <w:szCs w:val="18"/>
              </w:rPr>
              <w:t xml:space="preserve"> : </w:t>
            </w:r>
            <w:r>
              <w:rPr>
                <w:rFonts w:cstheme="minorHAnsi"/>
                <w:sz w:val="18"/>
                <w:szCs w:val="18"/>
              </w:rPr>
              <w:t>92 440</w:t>
            </w:r>
            <w:r w:rsidRPr="006A7708">
              <w:rPr>
                <w:rFonts w:cstheme="minorHAnsi"/>
                <w:sz w:val="18"/>
                <w:szCs w:val="18"/>
              </w:rPr>
              <w:t>€ dont 61</w:t>
            </w:r>
            <w:r>
              <w:rPr>
                <w:rFonts w:cstheme="minorHAnsi"/>
                <w:sz w:val="18"/>
                <w:szCs w:val="18"/>
              </w:rPr>
              <w:t xml:space="preserve"> 473</w:t>
            </w:r>
            <w:r>
              <w:rPr>
                <w:rFonts w:cstheme="minorHAnsi"/>
                <w:sz w:val="18"/>
                <w:szCs w:val="18"/>
              </w:rPr>
              <w:t>€ du FEJ</w:t>
            </w:r>
          </w:p>
        </w:tc>
      </w:tr>
    </w:tbl>
    <w:p w:rsidR="00FB38CD" w:rsidRPr="00EF21E7" w:rsidRDefault="00FB38CD" w:rsidP="00EF21E7"/>
    <w:sectPr w:rsidR="00FB38CD" w:rsidRPr="00EF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83" w:rsidRDefault="009F3483" w:rsidP="005803B4">
      <w:pPr>
        <w:spacing w:after="0" w:line="240" w:lineRule="auto"/>
      </w:pPr>
      <w:r>
        <w:separator/>
      </w:r>
    </w:p>
  </w:endnote>
  <w:endnote w:type="continuationSeparator" w:id="0">
    <w:p w:rsidR="009F3483" w:rsidRDefault="009F3483" w:rsidP="0058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83" w:rsidRDefault="009F3483" w:rsidP="005803B4">
      <w:pPr>
        <w:spacing w:after="0" w:line="240" w:lineRule="auto"/>
      </w:pPr>
      <w:r>
        <w:separator/>
      </w:r>
    </w:p>
  </w:footnote>
  <w:footnote w:type="continuationSeparator" w:id="0">
    <w:p w:rsidR="009F3483" w:rsidRDefault="009F3483" w:rsidP="0058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0BD"/>
    <w:multiLevelType w:val="hybridMultilevel"/>
    <w:tmpl w:val="F92CCC80"/>
    <w:lvl w:ilvl="0" w:tplc="7BE0DC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E2086"/>
    <w:multiLevelType w:val="hybridMultilevel"/>
    <w:tmpl w:val="D27A37BE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687F"/>
    <w:multiLevelType w:val="hybridMultilevel"/>
    <w:tmpl w:val="2AF66668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02F89"/>
    <w:multiLevelType w:val="hybridMultilevel"/>
    <w:tmpl w:val="9E0CD84A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27102"/>
    <w:multiLevelType w:val="hybridMultilevel"/>
    <w:tmpl w:val="6D9EA66E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03B36"/>
    <w:multiLevelType w:val="hybridMultilevel"/>
    <w:tmpl w:val="A718F20A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03EDC"/>
    <w:multiLevelType w:val="hybridMultilevel"/>
    <w:tmpl w:val="A1D29DD6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0422E"/>
    <w:multiLevelType w:val="hybridMultilevel"/>
    <w:tmpl w:val="438018DC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4CE6"/>
    <w:multiLevelType w:val="hybridMultilevel"/>
    <w:tmpl w:val="C6483B8A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515EF"/>
    <w:multiLevelType w:val="hybridMultilevel"/>
    <w:tmpl w:val="64D24DD6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5055A"/>
    <w:multiLevelType w:val="hybridMultilevel"/>
    <w:tmpl w:val="075C989A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1287F"/>
    <w:multiLevelType w:val="hybridMultilevel"/>
    <w:tmpl w:val="0C740112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AEE69B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B5822"/>
    <w:multiLevelType w:val="hybridMultilevel"/>
    <w:tmpl w:val="948EB524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B4"/>
    <w:rsid w:val="002F1748"/>
    <w:rsid w:val="00373B0C"/>
    <w:rsid w:val="005803B4"/>
    <w:rsid w:val="00682F5C"/>
    <w:rsid w:val="006B1450"/>
    <w:rsid w:val="008C4C5D"/>
    <w:rsid w:val="009F3483"/>
    <w:rsid w:val="00E75615"/>
    <w:rsid w:val="00EF21E7"/>
    <w:rsid w:val="00F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B63"/>
  <w15:chartTrackingRefBased/>
  <w15:docId w15:val="{97E6ED2E-2FF4-47E9-8476-802C7F4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03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03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3B4"/>
  </w:style>
  <w:style w:type="paragraph" w:styleId="Pieddepage">
    <w:name w:val="footer"/>
    <w:basedOn w:val="Normal"/>
    <w:link w:val="PieddepageCar"/>
    <w:uiPriority w:val="99"/>
    <w:unhideWhenUsed/>
    <w:rsid w:val="0058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3B4"/>
  </w:style>
  <w:style w:type="table" w:customStyle="1" w:styleId="Grilledutableau1">
    <w:name w:val="Grille du tableau1"/>
    <w:basedOn w:val="TableauNormal"/>
    <w:next w:val="Grilledutableau"/>
    <w:uiPriority w:val="39"/>
    <w:rsid w:val="00EF21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3020</Characters>
  <Application>Microsoft Office Word</Application>
  <DocSecurity>0</DocSecurity>
  <Lines>65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MOLNAR</dc:creator>
  <cp:keywords/>
  <dc:description/>
  <cp:lastModifiedBy>JULIE MOLNAR</cp:lastModifiedBy>
  <cp:revision>2</cp:revision>
  <dcterms:created xsi:type="dcterms:W3CDTF">2024-06-07T08:52:00Z</dcterms:created>
  <dcterms:modified xsi:type="dcterms:W3CDTF">2024-06-07T08:52:00Z</dcterms:modified>
</cp:coreProperties>
</file>