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08" w:rsidRDefault="00425508" w:rsidP="00425508"/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25508" w:rsidRPr="006A7708" w:rsidTr="00697863">
        <w:trPr>
          <w:trHeight w:val="5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425508" w:rsidRPr="006A7708" w:rsidRDefault="00425508" w:rsidP="00697863">
            <w:pPr>
              <w:spacing w:line="25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 w:rsidRPr="00573AF1">
              <w:rPr>
                <w:rFonts w:cstheme="minorHAnsi"/>
                <w:b/>
                <w:sz w:val="28"/>
                <w:szCs w:val="28"/>
              </w:rPr>
              <w:t xml:space="preserve">Union Régionale des Foyers Ruraux </w:t>
            </w:r>
            <w:bookmarkEnd w:id="0"/>
            <w:r w:rsidRPr="00573AF1">
              <w:rPr>
                <w:rFonts w:cstheme="minorHAnsi"/>
                <w:b/>
                <w:sz w:val="28"/>
                <w:szCs w:val="28"/>
              </w:rPr>
              <w:t>d’Île-De-France </w:t>
            </w:r>
          </w:p>
          <w:p w:rsidR="00425508" w:rsidRPr="006A7708" w:rsidRDefault="00425508" w:rsidP="00697863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(APEGA_ 08</w:t>
            </w:r>
            <w:r w:rsidRPr="006A770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25508" w:rsidRPr="006A7708" w:rsidTr="006978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8" w:rsidRDefault="00425508" w:rsidP="00697863">
            <w:pPr>
              <w:spacing w:line="256" w:lineRule="auto"/>
              <w:jc w:val="center"/>
              <w:rPr>
                <w:rFonts w:cstheme="minorHAnsi"/>
                <w:b/>
                <w:color w:val="002060"/>
              </w:rPr>
            </w:pPr>
          </w:p>
          <w:p w:rsidR="00425508" w:rsidRDefault="00425508" w:rsidP="00697863">
            <w:pPr>
              <w:spacing w:line="256" w:lineRule="auto"/>
              <w:jc w:val="center"/>
              <w:rPr>
                <w:rFonts w:cstheme="minorHAnsi"/>
                <w:b/>
                <w:color w:val="002060"/>
              </w:rPr>
            </w:pPr>
            <w:r w:rsidRPr="00573AF1">
              <w:rPr>
                <w:rFonts w:cstheme="minorHAnsi"/>
                <w:b/>
                <w:color w:val="002060"/>
              </w:rPr>
              <w:t xml:space="preserve">Fille ou garçon, grandir dans l'égalité en milieu rural, en Ile de </w:t>
            </w:r>
            <w:r>
              <w:rPr>
                <w:rFonts w:cstheme="minorHAnsi"/>
                <w:b/>
                <w:color w:val="002060"/>
              </w:rPr>
              <w:t>France</w:t>
            </w:r>
          </w:p>
          <w:p w:rsidR="00425508" w:rsidRDefault="00425508" w:rsidP="00697863">
            <w:pPr>
              <w:spacing w:line="256" w:lineRule="auto"/>
              <w:jc w:val="center"/>
              <w:rPr>
                <w:rFonts w:cstheme="minorHAnsi"/>
                <w:b/>
                <w:color w:val="002060"/>
              </w:rPr>
            </w:pPr>
          </w:p>
          <w:p w:rsidR="00425508" w:rsidRPr="004B3F9D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B3F9D">
              <w:rPr>
                <w:rFonts w:cstheme="minorHAnsi"/>
                <w:b/>
                <w:sz w:val="18"/>
                <w:szCs w:val="18"/>
              </w:rPr>
              <w:t>Axe 2 : Encourager et favoriser la mixité dans les pratiques culturelles, sportives et de loisirs des filles et des garçons</w:t>
            </w:r>
          </w:p>
          <w:p w:rsidR="00425508" w:rsidRPr="006A7708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425508" w:rsidRPr="006A7708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Présentation du projet :</w:t>
            </w:r>
          </w:p>
          <w:p w:rsidR="00425508" w:rsidRDefault="00425508" w:rsidP="00697863">
            <w:p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25510">
              <w:rPr>
                <w:rFonts w:cstheme="minorHAnsi"/>
                <w:bCs/>
                <w:sz w:val="18"/>
                <w:szCs w:val="18"/>
              </w:rPr>
              <w:t>Les Foyers Ruraux, mouveme</w:t>
            </w:r>
            <w:r>
              <w:rPr>
                <w:rFonts w:cstheme="minorHAnsi"/>
                <w:bCs/>
                <w:sz w:val="18"/>
                <w:szCs w:val="18"/>
              </w:rPr>
              <w:t>nt d’éducation populaire et de j</w:t>
            </w:r>
            <w:r w:rsidRPr="00D25510">
              <w:rPr>
                <w:rFonts w:cstheme="minorHAnsi"/>
                <w:bCs/>
                <w:sz w:val="18"/>
                <w:szCs w:val="18"/>
              </w:rPr>
              <w:t>eunesse</w:t>
            </w:r>
            <w:r>
              <w:rPr>
                <w:rFonts w:cstheme="minorHAnsi"/>
                <w:bCs/>
                <w:sz w:val="18"/>
                <w:szCs w:val="18"/>
              </w:rPr>
              <w:t xml:space="preserve"> agit pour la population rurale. Plusieurs ambitions sont portées par l’association telles que : la promotion de l’égalité dès le plus jeune âge, la </w:t>
            </w:r>
            <w:r w:rsidRPr="00D25510">
              <w:rPr>
                <w:rFonts w:cstheme="minorHAnsi"/>
                <w:bCs/>
                <w:sz w:val="18"/>
                <w:szCs w:val="18"/>
              </w:rPr>
              <w:t>culture de l’égalité afin de transmettre le</w:t>
            </w:r>
            <w:r>
              <w:rPr>
                <w:rFonts w:cstheme="minorHAnsi"/>
                <w:bCs/>
                <w:sz w:val="18"/>
                <w:szCs w:val="18"/>
              </w:rPr>
              <w:t xml:space="preserve"> respect de soi et des autres, </w:t>
            </w:r>
            <w:r w:rsidRPr="00D25510">
              <w:rPr>
                <w:rFonts w:cstheme="minorHAnsi"/>
                <w:bCs/>
                <w:sz w:val="18"/>
                <w:szCs w:val="18"/>
              </w:rPr>
              <w:t>la lutte contre le sexisme et les sté</w:t>
            </w:r>
            <w:r>
              <w:rPr>
                <w:rFonts w:cstheme="minorHAnsi"/>
                <w:bCs/>
                <w:sz w:val="18"/>
                <w:szCs w:val="18"/>
              </w:rPr>
              <w:t>réotypes sous toutes ses formes, ainsi que la promotion de la mixité.</w:t>
            </w:r>
          </w:p>
          <w:p w:rsidR="00425508" w:rsidRPr="00D25510" w:rsidRDefault="00425508" w:rsidP="00697863">
            <w:p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 l’échelle départementale, plusieurs formations ont été mises en œuvre (à</w:t>
            </w:r>
            <w:r w:rsidRPr="00D25510">
              <w:rPr>
                <w:rFonts w:cstheme="minorHAnsi"/>
                <w:bCs/>
                <w:sz w:val="18"/>
                <w:szCs w:val="18"/>
              </w:rPr>
              <w:t xml:space="preserve"> destination des p</w:t>
            </w:r>
            <w:r>
              <w:rPr>
                <w:rFonts w:cstheme="minorHAnsi"/>
                <w:bCs/>
                <w:sz w:val="18"/>
                <w:szCs w:val="18"/>
              </w:rPr>
              <w:t xml:space="preserve">rofessionnels, des bénévoles </w:t>
            </w:r>
            <w:r w:rsidRPr="00D25510">
              <w:rPr>
                <w:rFonts w:cstheme="minorHAnsi"/>
                <w:bCs/>
                <w:sz w:val="18"/>
                <w:szCs w:val="18"/>
              </w:rPr>
              <w:t>adhérents ou non</w:t>
            </w:r>
            <w:r>
              <w:rPr>
                <w:rFonts w:cstheme="minorHAnsi"/>
                <w:bCs/>
                <w:sz w:val="18"/>
                <w:szCs w:val="18"/>
              </w:rPr>
              <w:t>,</w:t>
            </w:r>
            <w:r w:rsidRPr="00D25510">
              <w:rPr>
                <w:rFonts w:cstheme="minorHAnsi"/>
                <w:bCs/>
                <w:sz w:val="18"/>
                <w:szCs w:val="18"/>
              </w:rPr>
              <w:t xml:space="preserve"> des animateurs </w:t>
            </w:r>
            <w:r>
              <w:rPr>
                <w:rFonts w:cstheme="minorHAnsi"/>
                <w:bCs/>
                <w:sz w:val="18"/>
                <w:szCs w:val="18"/>
              </w:rPr>
              <w:t>disposant d’un</w:t>
            </w:r>
            <w:r w:rsidRPr="00D25510">
              <w:rPr>
                <w:rFonts w:cstheme="minorHAnsi"/>
                <w:bCs/>
                <w:sz w:val="18"/>
                <w:szCs w:val="18"/>
              </w:rPr>
              <w:t xml:space="preserve"> Brevet d’Apti</w:t>
            </w:r>
            <w:r>
              <w:rPr>
                <w:rFonts w:cstheme="minorHAnsi"/>
                <w:bCs/>
                <w:sz w:val="18"/>
                <w:szCs w:val="18"/>
              </w:rPr>
              <w:t>tude aux Fonctions d’Animateurs (BAFA), o</w:t>
            </w:r>
            <w:r w:rsidRPr="00D25510">
              <w:rPr>
                <w:rFonts w:cstheme="minorHAnsi"/>
                <w:bCs/>
                <w:sz w:val="18"/>
                <w:szCs w:val="18"/>
              </w:rPr>
              <w:t>rganisateurs et accompagnants des Accu</w:t>
            </w:r>
            <w:r>
              <w:rPr>
                <w:rFonts w:cstheme="minorHAnsi"/>
                <w:bCs/>
                <w:sz w:val="18"/>
                <w:szCs w:val="18"/>
              </w:rPr>
              <w:t>eils Collectifs de Mineurs (ACM)</w:t>
            </w:r>
            <w:r w:rsidRPr="00D25510">
              <w:rPr>
                <w:rFonts w:cstheme="minorHAnsi"/>
                <w:bCs/>
                <w:sz w:val="18"/>
                <w:szCs w:val="18"/>
              </w:rPr>
              <w:t>.</w:t>
            </w:r>
          </w:p>
          <w:p w:rsidR="00425508" w:rsidRPr="00D25510" w:rsidRDefault="00425508" w:rsidP="00697863">
            <w:p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25510">
              <w:rPr>
                <w:rFonts w:cstheme="minorHAnsi"/>
                <w:bCs/>
                <w:sz w:val="18"/>
                <w:szCs w:val="18"/>
              </w:rPr>
              <w:t>Les Foyers Rur</w:t>
            </w:r>
            <w:r>
              <w:rPr>
                <w:rFonts w:cstheme="minorHAnsi"/>
                <w:bCs/>
                <w:sz w:val="18"/>
                <w:szCs w:val="18"/>
              </w:rPr>
              <w:t>aux sont présents en région Ile-de-</w:t>
            </w:r>
            <w:r w:rsidRPr="00D25510">
              <w:rPr>
                <w:rFonts w:cstheme="minorHAnsi"/>
                <w:bCs/>
                <w:sz w:val="18"/>
                <w:szCs w:val="18"/>
              </w:rPr>
              <w:t>France, particulièrement dans 3 départements : Seine et Marne, Val d’Oise, Yvelines</w:t>
            </w:r>
            <w:r>
              <w:rPr>
                <w:rFonts w:cstheme="minorHAnsi"/>
                <w:bCs/>
                <w:sz w:val="18"/>
                <w:szCs w:val="18"/>
              </w:rPr>
              <w:t>. Le mouvement propose</w:t>
            </w:r>
            <w:r w:rsidRPr="00D25510">
              <w:rPr>
                <w:rFonts w:cstheme="minorHAnsi"/>
                <w:bCs/>
                <w:sz w:val="18"/>
                <w:szCs w:val="18"/>
              </w:rPr>
              <w:t xml:space="preserve"> d'impulser de nouvelles formes d’expérimentation pour former l’ensemble des personnels à l’égalité, transmettre les valeurs d’égalité entre les filles et les garçons et plus largement mener des actions à la déconstruction des stéréotypes de sexe avec une réelle expertise en milieu rural.</w:t>
            </w:r>
          </w:p>
          <w:p w:rsidR="00425508" w:rsidRPr="006A7708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425508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Objectifs du projet : </w:t>
            </w:r>
          </w:p>
          <w:p w:rsidR="00425508" w:rsidRDefault="00425508" w:rsidP="00697863">
            <w:p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90EA0">
              <w:rPr>
                <w:rFonts w:cstheme="minorHAnsi"/>
                <w:i/>
                <w:sz w:val="18"/>
                <w:szCs w:val="18"/>
              </w:rPr>
              <w:t>Objectif général</w:t>
            </w:r>
            <w:r>
              <w:rPr>
                <w:rFonts w:cstheme="minorHAnsi"/>
                <w:b/>
                <w:sz w:val="18"/>
                <w:szCs w:val="18"/>
              </w:rPr>
              <w:t xml:space="preserve"> : </w:t>
            </w:r>
            <w:r w:rsidRPr="00D915E7">
              <w:rPr>
                <w:rFonts w:cstheme="minorHAnsi"/>
                <w:bCs/>
                <w:sz w:val="18"/>
                <w:szCs w:val="18"/>
              </w:rPr>
              <w:t>Sensibiliser et former les acteurs de la communauté éducative à l'égalité filles-garçons, à la déconstruction des stéréotypes de genre et à la prévention des violences sexistes et sexuelles à l'école, autour de l'école et en dehors de l'école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:rsidR="00425508" w:rsidRPr="00D915E7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915E7">
              <w:rPr>
                <w:rFonts w:cstheme="minorHAnsi"/>
                <w:bCs/>
                <w:i/>
                <w:sz w:val="18"/>
                <w:szCs w:val="18"/>
              </w:rPr>
              <w:t>Objectifs spécifiques</w:t>
            </w:r>
            <w:r>
              <w:rPr>
                <w:rFonts w:cstheme="minorHAnsi"/>
                <w:bCs/>
                <w:sz w:val="18"/>
                <w:szCs w:val="18"/>
              </w:rPr>
              <w:t xml:space="preserve"> : </w:t>
            </w:r>
          </w:p>
          <w:p w:rsidR="00425508" w:rsidRPr="00662251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662251">
              <w:rPr>
                <w:rFonts w:cstheme="minorHAnsi"/>
                <w:bCs/>
                <w:sz w:val="18"/>
                <w:szCs w:val="18"/>
              </w:rPr>
              <w:t>Identifier les inégalités entre les filles et les garçons, les analyser et repérer les alternatives existantes et en construire de nouvel</w:t>
            </w:r>
            <w:r>
              <w:rPr>
                <w:rFonts w:cstheme="minorHAnsi"/>
                <w:bCs/>
                <w:sz w:val="18"/>
                <w:szCs w:val="18"/>
              </w:rPr>
              <w:t>les avec les équipes éducatives ;</w:t>
            </w:r>
          </w:p>
          <w:p w:rsidR="00425508" w:rsidRPr="00662251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662251">
              <w:rPr>
                <w:rFonts w:cstheme="minorHAnsi"/>
                <w:bCs/>
                <w:sz w:val="18"/>
                <w:szCs w:val="18"/>
              </w:rPr>
              <w:t>Identifier les stéréotypes de genre, les analyser et repérer les alternatives existantes et en construire de nouvelles avec les en</w:t>
            </w:r>
            <w:r>
              <w:rPr>
                <w:rFonts w:cstheme="minorHAnsi"/>
                <w:bCs/>
                <w:sz w:val="18"/>
                <w:szCs w:val="18"/>
              </w:rPr>
              <w:t>fants et les équipes éducatives ;</w:t>
            </w:r>
          </w:p>
          <w:p w:rsidR="00425508" w:rsidRPr="00662251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662251">
              <w:rPr>
                <w:rFonts w:cstheme="minorHAnsi"/>
                <w:bCs/>
                <w:sz w:val="18"/>
                <w:szCs w:val="18"/>
              </w:rPr>
              <w:t>Identifier les violences sexistes et sexuelles, analyser les causes, repérer les alternatives existantes et en construire de nouvelles avec les enfants et les équipes éducatives.</w:t>
            </w:r>
          </w:p>
          <w:p w:rsidR="00425508" w:rsidRPr="00662251" w:rsidRDefault="00425508" w:rsidP="00697863">
            <w:pPr>
              <w:pStyle w:val="Paragraphedeliste"/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425508" w:rsidRPr="006A7708" w:rsidRDefault="00425508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Actions menées</w:t>
            </w:r>
            <w:r>
              <w:rPr>
                <w:rFonts w:cstheme="minorHAnsi"/>
                <w:b/>
                <w:sz w:val="18"/>
                <w:szCs w:val="18"/>
              </w:rPr>
              <w:t xml:space="preserve"> : </w:t>
            </w:r>
          </w:p>
          <w:p w:rsidR="00425508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15E7">
              <w:rPr>
                <w:rFonts w:cstheme="minorHAnsi"/>
                <w:bCs/>
                <w:sz w:val="18"/>
                <w:szCs w:val="18"/>
              </w:rPr>
              <w:t>Organisation de temps de formation à destin</w:t>
            </w:r>
            <w:r>
              <w:rPr>
                <w:rFonts w:cstheme="minorHAnsi"/>
                <w:bCs/>
                <w:sz w:val="18"/>
                <w:szCs w:val="18"/>
              </w:rPr>
              <w:t>ation des acteurs de terrain ;</w:t>
            </w:r>
          </w:p>
          <w:p w:rsidR="00425508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15E7">
              <w:rPr>
                <w:rFonts w:cstheme="minorHAnsi"/>
                <w:bCs/>
                <w:sz w:val="18"/>
                <w:szCs w:val="18"/>
              </w:rPr>
              <w:t>Identific</w:t>
            </w:r>
            <w:r>
              <w:rPr>
                <w:rFonts w:cstheme="minorHAnsi"/>
                <w:bCs/>
                <w:sz w:val="18"/>
                <w:szCs w:val="18"/>
              </w:rPr>
              <w:t>ation des dispositifs existants ;</w:t>
            </w:r>
          </w:p>
          <w:p w:rsidR="00425508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15E7">
              <w:rPr>
                <w:rFonts w:cstheme="minorHAnsi"/>
                <w:bCs/>
                <w:sz w:val="18"/>
                <w:szCs w:val="18"/>
              </w:rPr>
              <w:t>Identification des alternatives à l’œuvre et organisation de retours de pratiques</w:t>
            </w:r>
            <w:r>
              <w:rPr>
                <w:rFonts w:cstheme="minorHAnsi"/>
                <w:bCs/>
                <w:sz w:val="18"/>
                <w:szCs w:val="18"/>
              </w:rPr>
              <w:t> ;</w:t>
            </w:r>
          </w:p>
          <w:p w:rsidR="00425508" w:rsidRPr="00D915E7" w:rsidRDefault="00425508" w:rsidP="00425508">
            <w:pPr>
              <w:pStyle w:val="Paragraphedeliste"/>
              <w:numPr>
                <w:ilvl w:val="0"/>
                <w:numId w:val="18"/>
              </w:numPr>
              <w:spacing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15E7">
              <w:rPr>
                <w:rFonts w:cstheme="minorHAnsi"/>
                <w:bCs/>
                <w:sz w:val="18"/>
                <w:szCs w:val="18"/>
              </w:rPr>
              <w:t>Co-construction et expérimentation de dispositifs alternatifs suite aux retours d’expériences avec les acteurs au sein des ACM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:rsidR="00425508" w:rsidRPr="0062615F" w:rsidRDefault="00425508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425508" w:rsidRPr="006A7708" w:rsidRDefault="00425508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Territoire d’expérimentation</w:t>
            </w:r>
            <w:r w:rsidRPr="006A7708">
              <w:rPr>
                <w:rFonts w:cstheme="minorHAnsi"/>
                <w:sz w:val="18"/>
                <w:szCs w:val="18"/>
              </w:rPr>
              <w:t xml:space="preserve"> : </w:t>
            </w:r>
          </w:p>
          <w:p w:rsidR="00425508" w:rsidRPr="00B6106F" w:rsidRDefault="00425508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B6106F">
              <w:rPr>
                <w:rFonts w:cstheme="minorHAnsi"/>
                <w:bCs/>
                <w:sz w:val="18"/>
                <w:szCs w:val="18"/>
              </w:rPr>
              <w:t>Territoires ruraux des départements des Yvelines et de la Seine-et-Marne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:rsidR="00425508" w:rsidRPr="006A7708" w:rsidRDefault="00425508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425508" w:rsidRPr="006A7708" w:rsidRDefault="00425508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Public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6A7708">
              <w:rPr>
                <w:rFonts w:cstheme="minorHAnsi"/>
                <w:b/>
                <w:sz w:val="18"/>
                <w:szCs w:val="18"/>
              </w:rPr>
              <w:t xml:space="preserve"> bénéficiaire</w:t>
            </w:r>
            <w:r>
              <w:rPr>
                <w:rFonts w:cstheme="minorHAnsi"/>
                <w:b/>
                <w:sz w:val="18"/>
                <w:szCs w:val="18"/>
              </w:rPr>
              <w:t>s directs visés</w:t>
            </w:r>
            <w:r w:rsidRPr="006A7708">
              <w:rPr>
                <w:rFonts w:cstheme="minorHAnsi"/>
                <w:b/>
                <w:sz w:val="18"/>
                <w:szCs w:val="18"/>
              </w:rPr>
              <w:t xml:space="preserve"> : </w:t>
            </w:r>
          </w:p>
          <w:p w:rsidR="00425508" w:rsidRPr="00116024" w:rsidRDefault="00425508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16024">
              <w:rPr>
                <w:rFonts w:cstheme="minorHAnsi"/>
                <w:bCs/>
                <w:sz w:val="18"/>
                <w:szCs w:val="18"/>
              </w:rPr>
              <w:t>Enfants et jeunes âgés de 3 à 17 ans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116024">
              <w:rPr>
                <w:rFonts w:cstheme="minorHAnsi"/>
                <w:bCs/>
                <w:sz w:val="18"/>
                <w:szCs w:val="18"/>
              </w:rPr>
              <w:t>animateurs et directeurs de centres d’Accueils collectifs de mineurs, stagiaires et formateurs des formations BAFA, adhérents des associations du réseau des Foyers Ruraux</w:t>
            </w:r>
          </w:p>
          <w:p w:rsidR="00425508" w:rsidRPr="006A7708" w:rsidRDefault="00425508" w:rsidP="0069786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  <w:p w:rsidR="00425508" w:rsidRPr="006A7708" w:rsidRDefault="00425508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Partenaires</w:t>
            </w:r>
            <w:r>
              <w:rPr>
                <w:rFonts w:cstheme="minorHAnsi"/>
                <w:b/>
                <w:sz w:val="18"/>
                <w:szCs w:val="18"/>
              </w:rPr>
              <w:t xml:space="preserve"> du projet</w:t>
            </w:r>
            <w:r w:rsidRPr="006A7708">
              <w:rPr>
                <w:rFonts w:cstheme="minorHAnsi"/>
                <w:sz w:val="18"/>
                <w:szCs w:val="18"/>
              </w:rPr>
              <w:t xml:space="preserve"> : </w:t>
            </w:r>
          </w:p>
          <w:p w:rsidR="00425508" w:rsidRPr="00B6106F" w:rsidRDefault="00425508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B6106F">
              <w:rPr>
                <w:rFonts w:cstheme="minorHAnsi"/>
                <w:bCs/>
                <w:sz w:val="18"/>
                <w:szCs w:val="18"/>
              </w:rPr>
              <w:t xml:space="preserve">SDJES 77, UT Sénart - UPEC formations carrières sociales, Planning Familial 77, Mairie de Livry sur Seine, ACL de </w:t>
            </w:r>
            <w:proofErr w:type="spellStart"/>
            <w:r w:rsidRPr="00B6106F">
              <w:rPr>
                <w:rFonts w:cstheme="minorHAnsi"/>
                <w:bCs/>
                <w:sz w:val="18"/>
                <w:szCs w:val="18"/>
              </w:rPr>
              <w:t>Jouars</w:t>
            </w:r>
            <w:proofErr w:type="spellEnd"/>
            <w:r w:rsidRPr="00B6106F">
              <w:rPr>
                <w:rFonts w:cstheme="minorHAnsi"/>
                <w:bCs/>
                <w:sz w:val="18"/>
                <w:szCs w:val="18"/>
              </w:rPr>
              <w:t xml:space="preserve"> Pontchartrain, ACL de </w:t>
            </w:r>
            <w:proofErr w:type="spellStart"/>
            <w:r w:rsidRPr="00B6106F">
              <w:rPr>
                <w:rFonts w:cstheme="minorHAnsi"/>
                <w:bCs/>
                <w:sz w:val="18"/>
                <w:szCs w:val="18"/>
              </w:rPr>
              <w:t>Bullion</w:t>
            </w:r>
            <w:proofErr w:type="spellEnd"/>
            <w:r w:rsidRPr="00B6106F">
              <w:rPr>
                <w:rFonts w:cstheme="minorHAnsi"/>
                <w:bCs/>
                <w:sz w:val="18"/>
                <w:szCs w:val="18"/>
              </w:rPr>
              <w:t xml:space="preserve">, ACL de </w:t>
            </w:r>
            <w:proofErr w:type="spellStart"/>
            <w:r w:rsidRPr="00B6106F">
              <w:rPr>
                <w:rFonts w:cstheme="minorHAnsi"/>
                <w:bCs/>
                <w:sz w:val="18"/>
                <w:szCs w:val="18"/>
              </w:rPr>
              <w:t>Crespières</w:t>
            </w:r>
            <w:proofErr w:type="spellEnd"/>
            <w:r w:rsidRPr="00B6106F">
              <w:rPr>
                <w:rFonts w:cstheme="minorHAnsi"/>
                <w:bCs/>
                <w:sz w:val="18"/>
                <w:szCs w:val="18"/>
              </w:rPr>
              <w:t>, FR'VESCENCES</w:t>
            </w:r>
          </w:p>
          <w:p w:rsidR="00425508" w:rsidRPr="006A7708" w:rsidRDefault="00425508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425508" w:rsidRPr="006A7708" w:rsidRDefault="00425508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 xml:space="preserve">Calendrier de l’expérimentation : </w:t>
            </w:r>
          </w:p>
          <w:p w:rsidR="00425508" w:rsidRPr="006A7708" w:rsidRDefault="00425508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01/09/2024 – 30/09/2027</w:t>
            </w:r>
          </w:p>
          <w:p w:rsidR="00425508" w:rsidRPr="006A7708" w:rsidRDefault="00425508" w:rsidP="0069786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425508" w:rsidRPr="006A7708" w:rsidRDefault="00425508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Budget total porteur</w:t>
            </w:r>
            <w:r w:rsidRPr="006A7708">
              <w:rPr>
                <w:rFonts w:cstheme="minorHAnsi"/>
                <w:sz w:val="18"/>
                <w:szCs w:val="18"/>
              </w:rPr>
              <w:t xml:space="preserve"> : </w:t>
            </w:r>
            <w:r>
              <w:rPr>
                <w:rFonts w:cstheme="minorHAnsi"/>
                <w:sz w:val="18"/>
                <w:szCs w:val="18"/>
              </w:rPr>
              <w:t xml:space="preserve"> 224 500 € dont 105 000 </w:t>
            </w:r>
            <w:r w:rsidRPr="006A7708">
              <w:rPr>
                <w:rFonts w:cstheme="minorHAnsi"/>
                <w:sz w:val="18"/>
                <w:szCs w:val="18"/>
              </w:rPr>
              <w:t>€ du FEJ</w:t>
            </w:r>
          </w:p>
          <w:p w:rsidR="00425508" w:rsidRPr="006A7708" w:rsidRDefault="00425508" w:rsidP="0069786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FB38CD" w:rsidRPr="00425508" w:rsidRDefault="00FB38CD" w:rsidP="00425508"/>
    <w:sectPr w:rsidR="00FB38CD" w:rsidRPr="0042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B3" w:rsidRDefault="007127B3" w:rsidP="005803B4">
      <w:pPr>
        <w:spacing w:after="0" w:line="240" w:lineRule="auto"/>
      </w:pPr>
      <w:r>
        <w:separator/>
      </w:r>
    </w:p>
  </w:endnote>
  <w:endnote w:type="continuationSeparator" w:id="0">
    <w:p w:rsidR="007127B3" w:rsidRDefault="007127B3" w:rsidP="0058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B3" w:rsidRDefault="007127B3" w:rsidP="005803B4">
      <w:pPr>
        <w:spacing w:after="0" w:line="240" w:lineRule="auto"/>
      </w:pPr>
      <w:r>
        <w:separator/>
      </w:r>
    </w:p>
  </w:footnote>
  <w:footnote w:type="continuationSeparator" w:id="0">
    <w:p w:rsidR="007127B3" w:rsidRDefault="007127B3" w:rsidP="0058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0BD"/>
    <w:multiLevelType w:val="hybridMultilevel"/>
    <w:tmpl w:val="F92CCC80"/>
    <w:lvl w:ilvl="0" w:tplc="7BE0DC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E2086"/>
    <w:multiLevelType w:val="hybridMultilevel"/>
    <w:tmpl w:val="D27A37BE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687F"/>
    <w:multiLevelType w:val="hybridMultilevel"/>
    <w:tmpl w:val="2AF66668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2819"/>
    <w:multiLevelType w:val="hybridMultilevel"/>
    <w:tmpl w:val="E140E9F8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6605"/>
    <w:multiLevelType w:val="hybridMultilevel"/>
    <w:tmpl w:val="11E4A7EA"/>
    <w:lvl w:ilvl="0" w:tplc="7BE0DC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83266"/>
    <w:multiLevelType w:val="hybridMultilevel"/>
    <w:tmpl w:val="52F0498C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2F89"/>
    <w:multiLevelType w:val="hybridMultilevel"/>
    <w:tmpl w:val="9E0CD84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27102"/>
    <w:multiLevelType w:val="hybridMultilevel"/>
    <w:tmpl w:val="6D9EA66E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03B36"/>
    <w:multiLevelType w:val="hybridMultilevel"/>
    <w:tmpl w:val="A718F20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03EDC"/>
    <w:multiLevelType w:val="hybridMultilevel"/>
    <w:tmpl w:val="A1D29DD6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0422E"/>
    <w:multiLevelType w:val="hybridMultilevel"/>
    <w:tmpl w:val="438018DC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4CE6"/>
    <w:multiLevelType w:val="hybridMultilevel"/>
    <w:tmpl w:val="C6483B8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12D5D"/>
    <w:multiLevelType w:val="hybridMultilevel"/>
    <w:tmpl w:val="1C30C39C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515EF"/>
    <w:multiLevelType w:val="hybridMultilevel"/>
    <w:tmpl w:val="64D24DD6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6B8B"/>
    <w:multiLevelType w:val="hybridMultilevel"/>
    <w:tmpl w:val="103066BE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055A"/>
    <w:multiLevelType w:val="hybridMultilevel"/>
    <w:tmpl w:val="075C989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87F"/>
    <w:multiLevelType w:val="hybridMultilevel"/>
    <w:tmpl w:val="0C740112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AEE69B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B5822"/>
    <w:multiLevelType w:val="hybridMultilevel"/>
    <w:tmpl w:val="948EB524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5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B4"/>
    <w:rsid w:val="000B1E30"/>
    <w:rsid w:val="002F1748"/>
    <w:rsid w:val="00373B0C"/>
    <w:rsid w:val="00425508"/>
    <w:rsid w:val="005803B4"/>
    <w:rsid w:val="005D63AE"/>
    <w:rsid w:val="00682F5C"/>
    <w:rsid w:val="006B1450"/>
    <w:rsid w:val="007127B3"/>
    <w:rsid w:val="008C4C5D"/>
    <w:rsid w:val="00E75615"/>
    <w:rsid w:val="00EF21E7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B63"/>
  <w15:chartTrackingRefBased/>
  <w15:docId w15:val="{97E6ED2E-2FF4-47E9-8476-802C7F4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3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3B4"/>
  </w:style>
  <w:style w:type="paragraph" w:styleId="Pieddepage">
    <w:name w:val="footer"/>
    <w:basedOn w:val="Normal"/>
    <w:link w:val="PieddepageCar"/>
    <w:uiPriority w:val="99"/>
    <w:unhideWhenUsed/>
    <w:rsid w:val="0058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3B4"/>
  </w:style>
  <w:style w:type="table" w:customStyle="1" w:styleId="Grilledutableau1">
    <w:name w:val="Grille du tableau1"/>
    <w:basedOn w:val="TableauNormal"/>
    <w:next w:val="Grilledutableau"/>
    <w:uiPriority w:val="39"/>
    <w:rsid w:val="00EF2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2785</Characters>
  <Application>Microsoft Office Word</Application>
  <DocSecurity>0</DocSecurity>
  <Lines>60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MOLNAR</dc:creator>
  <cp:keywords/>
  <dc:description/>
  <cp:lastModifiedBy>JULIE MOLNAR</cp:lastModifiedBy>
  <cp:revision>2</cp:revision>
  <dcterms:created xsi:type="dcterms:W3CDTF">2024-06-07T08:54:00Z</dcterms:created>
  <dcterms:modified xsi:type="dcterms:W3CDTF">2024-06-07T08:54:00Z</dcterms:modified>
</cp:coreProperties>
</file>