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EB6F38" w:rsidP="00BA5951">
      <w:pPr>
        <w:autoSpaceDE w:val="0"/>
        <w:autoSpaceDN w:val="0"/>
        <w:adjustRightInd w:val="0"/>
        <w:jc w:val="both"/>
        <w:rPr>
          <w:rFonts w:cstheme="minorHAnsi"/>
        </w:rPr>
      </w:pPr>
      <w:r>
        <w:rPr>
          <w:noProof/>
          <w:lang w:eastAsia="fr-FR"/>
        </w:rPr>
        <w:drawing>
          <wp:inline distT="0" distB="0" distL="0" distR="0" wp14:anchorId="522A4BFE" wp14:editId="4060E6DC">
            <wp:extent cx="1619250" cy="1209675"/>
            <wp:effectExtent l="0" t="0" r="0" b="9525"/>
            <wp:docPr id="1"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2096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A97284">
        <w:rPr>
          <w:b/>
        </w:rPr>
        <w:t>3</w:t>
      </w:r>
      <w:r w:rsidR="0009031E">
        <w:rPr>
          <w:b/>
        </w:rPr>
        <w:t>6</w:t>
      </w:r>
      <w:r w:rsidR="003A05EC">
        <w:rPr>
          <w:b/>
        </w:rPr>
        <w:t xml:space="preserve"> du </w:t>
      </w:r>
      <w:r w:rsidR="00320664">
        <w:rPr>
          <w:b/>
        </w:rPr>
        <w:t>2</w:t>
      </w:r>
      <w:r w:rsidR="00173D90">
        <w:rPr>
          <w:b/>
        </w:rPr>
        <w:t>1</w:t>
      </w:r>
      <w:r w:rsidR="007B4062">
        <w:rPr>
          <w:b/>
        </w:rPr>
        <w:t xml:space="preserve"> </w:t>
      </w:r>
      <w:r w:rsidR="00320664">
        <w:rPr>
          <w:b/>
        </w:rPr>
        <w:t>août</w:t>
      </w:r>
      <w:r w:rsidR="00E67445">
        <w:rPr>
          <w:b/>
        </w:rPr>
        <w:t xml:space="preserve"> 202</w:t>
      </w:r>
      <w:r w:rsidR="00545BA6">
        <w:rPr>
          <w:b/>
        </w:rPr>
        <w:t>4</w:t>
      </w:r>
    </w:p>
    <w:p w:rsidR="00A17D45" w:rsidRDefault="00320664" w:rsidP="00320664">
      <w:pPr>
        <w:jc w:val="center"/>
        <w:rPr>
          <w:rFonts w:cstheme="minorHAnsi"/>
          <w:b/>
        </w:rPr>
      </w:pPr>
      <w:r w:rsidRPr="00320664">
        <w:rPr>
          <w:rFonts w:cstheme="minorHAnsi"/>
          <w:b/>
        </w:rPr>
        <w:t xml:space="preserve">Education </w:t>
      </w:r>
    </w:p>
    <w:p w:rsidR="00320664" w:rsidRDefault="00320664" w:rsidP="00173D90">
      <w:pPr>
        <w:rPr>
          <w:rFonts w:cstheme="minorHAnsi"/>
          <w:b/>
        </w:rPr>
      </w:pPr>
    </w:p>
    <w:p w:rsidR="00173D90" w:rsidRDefault="00173D90" w:rsidP="00173D90">
      <w:pPr>
        <w:rPr>
          <w:rFonts w:cstheme="minorHAnsi"/>
          <w:b/>
        </w:rPr>
      </w:pPr>
      <w:r>
        <w:rPr>
          <w:rFonts w:cstheme="minorHAnsi"/>
          <w:b/>
        </w:rPr>
        <w:t>Internats d’excellence - ruralité</w:t>
      </w:r>
    </w:p>
    <w:p w:rsidR="00320664" w:rsidRPr="00320664" w:rsidRDefault="00572C56" w:rsidP="00320664">
      <w:pPr>
        <w:pStyle w:val="NormalWeb"/>
        <w:rPr>
          <w:rFonts w:asciiTheme="minorHAnsi" w:hAnsiTheme="minorHAnsi" w:cstheme="minorHAnsi"/>
          <w:color w:val="000000"/>
          <w:sz w:val="22"/>
          <w:szCs w:val="22"/>
        </w:rPr>
      </w:pPr>
      <w:hyperlink r:id="rId10" w:history="1">
        <w:r w:rsidR="00320664" w:rsidRPr="00320664">
          <w:rPr>
            <w:rStyle w:val="Lienhypertexte"/>
            <w:rFonts w:asciiTheme="minorHAnsi" w:hAnsiTheme="minorHAnsi" w:cstheme="minorHAnsi"/>
            <w:bCs/>
            <w:sz w:val="22"/>
            <w:szCs w:val="22"/>
          </w:rPr>
          <w:t>Arrêté du 5 juillet 2024</w:t>
        </w:r>
      </w:hyperlink>
      <w:r w:rsidR="00320664" w:rsidRPr="00320664">
        <w:rPr>
          <w:rFonts w:asciiTheme="minorHAnsi" w:hAnsiTheme="minorHAnsi" w:cstheme="minorHAnsi"/>
          <w:bCs/>
          <w:sz w:val="22"/>
          <w:szCs w:val="22"/>
        </w:rPr>
        <w:t xml:space="preserve"> relatif à l’octroi du label « Internat d’excellence – ruralité » relevant du Plan France Ruralités</w:t>
      </w:r>
      <w:r w:rsidR="00320664">
        <w:rPr>
          <w:rFonts w:asciiTheme="minorHAnsi" w:hAnsiTheme="minorHAnsi" w:cstheme="minorHAnsi"/>
          <w:bCs/>
          <w:sz w:val="22"/>
          <w:szCs w:val="22"/>
        </w:rPr>
        <w:br/>
      </w:r>
      <w:r w:rsidR="00320664">
        <w:rPr>
          <w:rFonts w:asciiTheme="minorHAnsi" w:hAnsiTheme="minorHAnsi" w:cstheme="minorHAnsi"/>
          <w:bCs/>
          <w:sz w:val="22"/>
          <w:szCs w:val="22"/>
        </w:rPr>
        <w:br/>
        <w:t>BOENJS n° 29 du 18 juillet 2024</w:t>
      </w:r>
      <w:r w:rsidR="00320664">
        <w:rPr>
          <w:rFonts w:asciiTheme="minorHAnsi" w:hAnsiTheme="minorHAnsi" w:cstheme="minorHAnsi"/>
          <w:bCs/>
          <w:sz w:val="22"/>
          <w:szCs w:val="22"/>
        </w:rPr>
        <w:br/>
      </w:r>
      <w:r w:rsidR="00320664">
        <w:rPr>
          <w:rFonts w:asciiTheme="minorHAnsi" w:hAnsiTheme="minorHAnsi" w:cstheme="minorHAnsi"/>
          <w:bCs/>
          <w:sz w:val="22"/>
          <w:szCs w:val="22"/>
        </w:rPr>
        <w:br/>
      </w:r>
      <w:r w:rsidR="00320664" w:rsidRPr="00320664">
        <w:rPr>
          <w:rFonts w:asciiTheme="minorHAnsi" w:hAnsiTheme="minorHAnsi" w:cstheme="minorHAnsi"/>
          <w:b/>
          <w:sz w:val="22"/>
          <w:szCs w:val="22"/>
        </w:rPr>
        <w:t>Article 1 –</w:t>
      </w:r>
      <w:r w:rsidR="00320664" w:rsidRPr="00320664">
        <w:rPr>
          <w:rFonts w:asciiTheme="minorHAnsi" w:hAnsiTheme="minorHAnsi" w:cstheme="minorHAnsi"/>
          <w:sz w:val="22"/>
          <w:szCs w:val="22"/>
        </w:rPr>
        <w:t> </w:t>
      </w:r>
      <w:r w:rsidR="00320664" w:rsidRPr="00320664">
        <w:rPr>
          <w:rFonts w:asciiTheme="minorHAnsi" w:hAnsiTheme="minorHAnsi" w:cstheme="minorHAnsi"/>
          <w:color w:val="000000"/>
          <w:sz w:val="22"/>
          <w:szCs w:val="22"/>
        </w:rPr>
        <w:t>Le label « Internat d’excellence </w:t>
      </w:r>
      <w:r w:rsidR="00320664" w:rsidRPr="00320664">
        <w:rPr>
          <w:rFonts w:asciiTheme="minorHAnsi" w:hAnsiTheme="minorHAnsi" w:cstheme="minorHAnsi"/>
          <w:b/>
          <w:bCs/>
          <w:color w:val="000000"/>
          <w:sz w:val="22"/>
          <w:szCs w:val="22"/>
        </w:rPr>
        <w:t>–</w:t>
      </w:r>
      <w:r w:rsidR="00320664" w:rsidRPr="00320664">
        <w:rPr>
          <w:rFonts w:asciiTheme="minorHAnsi" w:hAnsiTheme="minorHAnsi" w:cstheme="minorHAnsi"/>
          <w:color w:val="000000"/>
          <w:sz w:val="22"/>
          <w:szCs w:val="22"/>
        </w:rPr>
        <w:t> ruralité » est attribué aux internats dont le projet éducatif répond aux critères définis dans le cahier des charges annexé à l’arrêté du 24 octobre 2023 susvisé.</w:t>
      </w:r>
    </w:p>
    <w:p w:rsidR="00320664" w:rsidRPr="00320664" w:rsidRDefault="00320664" w:rsidP="00320664">
      <w:pPr>
        <w:spacing w:after="100" w:afterAutospacing="1" w:line="240" w:lineRule="auto"/>
        <w:rPr>
          <w:rFonts w:eastAsia="Times New Roman" w:cstheme="minorHAnsi"/>
          <w:color w:val="000000"/>
          <w:lang w:eastAsia="fr-FR"/>
        </w:rPr>
      </w:pPr>
      <w:r w:rsidRPr="00320664">
        <w:rPr>
          <w:rFonts w:eastAsia="Times New Roman" w:cstheme="minorHAnsi"/>
          <w:color w:val="000000"/>
          <w:lang w:eastAsia="fr-FR"/>
        </w:rPr>
        <w:t>La liste des internats concernés par la labellisation est jointe au présent arrêté en annexe 1.</w:t>
      </w:r>
    </w:p>
    <w:p w:rsidR="00320664" w:rsidRPr="00320664" w:rsidRDefault="00320664" w:rsidP="00320664">
      <w:pPr>
        <w:spacing w:after="100" w:afterAutospacing="1" w:line="240" w:lineRule="auto"/>
        <w:rPr>
          <w:rFonts w:eastAsia="Times New Roman" w:cstheme="minorHAnsi"/>
          <w:color w:val="000000"/>
          <w:lang w:eastAsia="fr-FR"/>
        </w:rPr>
      </w:pPr>
      <w:r w:rsidRPr="00320664">
        <w:rPr>
          <w:rFonts w:eastAsia="Times New Roman" w:cstheme="minorHAnsi"/>
          <w:b/>
          <w:lang w:eastAsia="fr-FR"/>
        </w:rPr>
        <w:t> Article 2 –</w:t>
      </w:r>
      <w:r w:rsidRPr="00320664">
        <w:rPr>
          <w:rFonts w:eastAsia="Times New Roman" w:cstheme="minorHAnsi"/>
          <w:lang w:eastAsia="fr-FR"/>
        </w:rPr>
        <w:t> </w:t>
      </w:r>
      <w:r w:rsidRPr="00320664">
        <w:rPr>
          <w:rFonts w:eastAsia="Times New Roman" w:cstheme="minorHAnsi"/>
          <w:color w:val="000000"/>
          <w:lang w:eastAsia="fr-FR"/>
        </w:rPr>
        <w:t>Les collectivités porteuses d’un projet de création, extension ou réhabilitation de places d’un internat labellisé Internat d’excellence </w:t>
      </w:r>
      <w:r w:rsidRPr="00320664">
        <w:rPr>
          <w:rFonts w:eastAsia="Times New Roman" w:cstheme="minorHAnsi"/>
          <w:b/>
          <w:bCs/>
          <w:color w:val="000000"/>
          <w:lang w:eastAsia="fr-FR"/>
        </w:rPr>
        <w:t>– </w:t>
      </w:r>
      <w:r w:rsidRPr="00320664">
        <w:rPr>
          <w:rFonts w:eastAsia="Times New Roman" w:cstheme="minorHAnsi"/>
          <w:color w:val="000000"/>
          <w:lang w:eastAsia="fr-FR"/>
        </w:rPr>
        <w:t>ruralité mentionné dans l’annexe 1 qui répond aux critères définis dans le cahier des charges annexé à l’arrêté du 24 octobre 2023 susvisé, bénéficieront pour chaque projet retenu d’une subvention d’un montant ne pouvant excéder 50 % du montant hors taxe des dépenses éligibles.</w:t>
      </w:r>
    </w:p>
    <w:p w:rsidR="00173D90" w:rsidRDefault="00320664" w:rsidP="00320664">
      <w:pPr>
        <w:pStyle w:val="NormalWeb"/>
        <w:rPr>
          <w:rFonts w:cstheme="minorHAnsi"/>
          <w:color w:val="000000"/>
        </w:rPr>
      </w:pPr>
      <w:r w:rsidRPr="00320664">
        <w:rPr>
          <w:rFonts w:asciiTheme="minorHAnsi" w:hAnsiTheme="minorHAnsi" w:cstheme="minorHAnsi"/>
          <w:color w:val="000000"/>
          <w:sz w:val="22"/>
          <w:szCs w:val="22"/>
        </w:rPr>
        <w:t>La liste des projets concernés par cette mesure est jointe au présent arrêté en annexe 2.</w:t>
      </w:r>
      <w:r>
        <w:rPr>
          <w:rFonts w:cstheme="minorHAnsi"/>
          <w:color w:val="000000"/>
        </w:rPr>
        <w:br/>
      </w:r>
      <w:r>
        <w:rPr>
          <w:rFonts w:cstheme="minorHAnsi"/>
          <w:color w:val="000000"/>
        </w:rPr>
        <w:br/>
      </w:r>
    </w:p>
    <w:p w:rsidR="00173D90" w:rsidRDefault="00173D90" w:rsidP="00320664">
      <w:pPr>
        <w:pStyle w:val="NormalWeb"/>
        <w:rPr>
          <w:rFonts w:cstheme="minorHAnsi"/>
          <w:color w:val="000000"/>
        </w:rPr>
      </w:pPr>
    </w:p>
    <w:p w:rsidR="00173D90" w:rsidRDefault="00173D90" w:rsidP="00320664">
      <w:pPr>
        <w:pStyle w:val="NormalWeb"/>
        <w:rPr>
          <w:rFonts w:cstheme="minorHAnsi"/>
          <w:color w:val="000000"/>
        </w:rPr>
      </w:pPr>
    </w:p>
    <w:p w:rsidR="00173D90" w:rsidRDefault="00173D90" w:rsidP="00320664">
      <w:pPr>
        <w:pStyle w:val="NormalWeb"/>
        <w:rPr>
          <w:rFonts w:cstheme="minorHAnsi"/>
          <w:color w:val="000000"/>
        </w:rPr>
      </w:pPr>
    </w:p>
    <w:p w:rsidR="00173D90" w:rsidRDefault="00173D90" w:rsidP="00320664">
      <w:pPr>
        <w:pStyle w:val="NormalWeb"/>
        <w:rPr>
          <w:rFonts w:cstheme="minorHAnsi"/>
          <w:color w:val="000000"/>
        </w:rPr>
      </w:pPr>
    </w:p>
    <w:p w:rsidR="00173D90" w:rsidRDefault="00173D90" w:rsidP="00320664">
      <w:pPr>
        <w:pStyle w:val="NormalWeb"/>
        <w:rPr>
          <w:rFonts w:cstheme="minorHAnsi"/>
          <w:color w:val="000000"/>
        </w:rPr>
      </w:pPr>
    </w:p>
    <w:p w:rsidR="00173D90" w:rsidRDefault="00173D90" w:rsidP="00320664">
      <w:pPr>
        <w:pStyle w:val="NormalWeb"/>
        <w:rPr>
          <w:rFonts w:asciiTheme="minorHAnsi" w:hAnsiTheme="minorHAnsi" w:cstheme="minorHAnsi"/>
          <w:color w:val="000000"/>
          <w:sz w:val="22"/>
          <w:szCs w:val="22"/>
        </w:rPr>
      </w:pPr>
      <w:r w:rsidRPr="00173D90">
        <w:rPr>
          <w:rFonts w:asciiTheme="minorHAnsi" w:hAnsiTheme="minorHAnsi" w:cstheme="minorHAnsi"/>
          <w:b/>
          <w:bCs/>
          <w:sz w:val="22"/>
          <w:szCs w:val="22"/>
        </w:rPr>
        <w:lastRenderedPageBreak/>
        <w:t>S</w:t>
      </w:r>
      <w:r w:rsidRPr="00173D90">
        <w:rPr>
          <w:rFonts w:asciiTheme="minorHAnsi" w:hAnsiTheme="minorHAnsi" w:cstheme="minorHAnsi"/>
          <w:b/>
          <w:bCs/>
          <w:sz w:val="22"/>
          <w:szCs w:val="22"/>
        </w:rPr>
        <w:t>équences d’observation, visites d’information et stages pour les élèves de collège</w:t>
      </w:r>
      <w:r w:rsidRPr="00173D90">
        <w:rPr>
          <w:rFonts w:asciiTheme="minorHAnsi" w:hAnsiTheme="minorHAnsi" w:cstheme="minorHAnsi"/>
          <w:bCs/>
          <w:sz w:val="22"/>
          <w:szCs w:val="22"/>
        </w:rPr>
        <w:br/>
      </w:r>
      <w:r>
        <w:rPr>
          <w:rFonts w:asciiTheme="minorHAnsi" w:hAnsiTheme="minorHAnsi" w:cstheme="minorHAnsi"/>
          <w:bCs/>
          <w:sz w:val="22"/>
          <w:szCs w:val="22"/>
        </w:rPr>
        <w:br/>
      </w:r>
      <w:hyperlink r:id="rId11" w:history="1">
        <w:r w:rsidR="00320664" w:rsidRPr="00320664">
          <w:rPr>
            <w:rStyle w:val="Lienhypertexte"/>
            <w:rFonts w:asciiTheme="minorHAnsi" w:hAnsiTheme="minorHAnsi" w:cstheme="minorHAnsi"/>
            <w:bCs/>
            <w:sz w:val="22"/>
            <w:szCs w:val="22"/>
          </w:rPr>
          <w:t>Circulaire du 12 juillet 2024</w:t>
        </w:r>
      </w:hyperlink>
      <w:r w:rsidR="00320664" w:rsidRPr="00320664">
        <w:rPr>
          <w:rFonts w:asciiTheme="minorHAnsi" w:hAnsiTheme="minorHAnsi" w:cstheme="minorHAnsi"/>
          <w:bCs/>
          <w:sz w:val="22"/>
          <w:szCs w:val="22"/>
        </w:rPr>
        <w:t xml:space="preserve"> relative aux séquences d’observation, visites d’information et stages pour les élèves de collège</w:t>
      </w:r>
      <w:r w:rsidR="00320664">
        <w:rPr>
          <w:rFonts w:asciiTheme="minorHAnsi" w:hAnsiTheme="minorHAnsi" w:cstheme="minorHAnsi"/>
          <w:bCs/>
          <w:sz w:val="22"/>
          <w:szCs w:val="22"/>
        </w:rPr>
        <w:br/>
      </w:r>
      <w:r w:rsidR="00320664">
        <w:rPr>
          <w:rFonts w:asciiTheme="minorHAnsi" w:hAnsiTheme="minorHAnsi" w:cstheme="minorHAnsi"/>
          <w:bCs/>
          <w:sz w:val="22"/>
          <w:szCs w:val="22"/>
        </w:rPr>
        <w:br/>
        <w:t>BOENJS n° 29 du 18 juillet 2024</w:t>
      </w:r>
      <w:r w:rsidR="00320664">
        <w:rPr>
          <w:rFonts w:asciiTheme="minorHAnsi" w:hAnsiTheme="minorHAnsi" w:cstheme="minorHAnsi"/>
          <w:bCs/>
          <w:sz w:val="22"/>
          <w:szCs w:val="22"/>
        </w:rPr>
        <w:br/>
      </w:r>
      <w:r w:rsidR="00320664">
        <w:rPr>
          <w:rFonts w:asciiTheme="minorHAnsi" w:hAnsiTheme="minorHAnsi" w:cstheme="minorHAnsi"/>
          <w:bCs/>
          <w:sz w:val="22"/>
          <w:szCs w:val="22"/>
        </w:rPr>
        <w:br/>
      </w:r>
      <w:r w:rsidR="00320664" w:rsidRPr="0039015B">
        <w:rPr>
          <w:rFonts w:asciiTheme="minorHAnsi" w:hAnsiTheme="minorHAnsi" w:cstheme="minorHAnsi"/>
          <w:color w:val="000000"/>
          <w:sz w:val="22"/>
          <w:szCs w:val="22"/>
        </w:rPr>
        <w:t>L’accueil des élèves en milieu professionnel est un vecteur essentiel de la découverte des métiers. À ce titre, il s’inscrit dans le cadre du parcours individuel, d'information, d'orientation et de découverte du monde économique et professionnel fixé à l’article L. 331-7 du Code de l’éducation appelé « parcours Avenir ».</w:t>
      </w:r>
    </w:p>
    <w:p w:rsidR="00320664" w:rsidRPr="00173D90" w:rsidRDefault="00173D90" w:rsidP="00320664">
      <w:pPr>
        <w:pStyle w:val="NormalWeb"/>
        <w:rPr>
          <w:rFonts w:asciiTheme="minorHAnsi" w:hAnsiTheme="minorHAnsi" w:cstheme="minorHAnsi"/>
          <w:b/>
          <w:color w:val="000000"/>
          <w:sz w:val="22"/>
          <w:szCs w:val="22"/>
        </w:rPr>
      </w:pPr>
      <w:r>
        <w:rPr>
          <w:rFonts w:asciiTheme="minorHAnsi" w:hAnsiTheme="minorHAnsi" w:cstheme="minorHAnsi"/>
          <w:color w:val="000000"/>
          <w:sz w:val="22"/>
          <w:szCs w:val="22"/>
        </w:rPr>
        <w:br/>
      </w:r>
      <w:r w:rsidRPr="00173D90">
        <w:rPr>
          <w:rFonts w:asciiTheme="minorHAnsi" w:hAnsiTheme="minorHAnsi" w:cstheme="minorHAnsi"/>
          <w:b/>
          <w:color w:val="000000"/>
          <w:sz w:val="22"/>
          <w:szCs w:val="22"/>
        </w:rPr>
        <w:t>Sorties et voyages scolaires</w:t>
      </w:r>
    </w:p>
    <w:p w:rsidR="00173D90" w:rsidRPr="00173D90" w:rsidRDefault="00173D90" w:rsidP="00173D90">
      <w:pPr>
        <w:pStyle w:val="NormalWeb"/>
        <w:rPr>
          <w:rFonts w:asciiTheme="minorHAnsi" w:hAnsiTheme="minorHAnsi" w:cstheme="minorHAnsi"/>
          <w:color w:val="000000"/>
          <w:sz w:val="22"/>
          <w:szCs w:val="22"/>
        </w:rPr>
      </w:pPr>
      <w:hyperlink r:id="rId12" w:history="1">
        <w:r w:rsidRPr="00173D90">
          <w:rPr>
            <w:rStyle w:val="Lienhypertexte"/>
            <w:rFonts w:asciiTheme="minorHAnsi" w:hAnsiTheme="minorHAnsi" w:cstheme="minorHAnsi"/>
            <w:sz w:val="22"/>
            <w:szCs w:val="22"/>
          </w:rPr>
          <w:t>Circulaire du 16 juillet 2024</w:t>
        </w:r>
      </w:hyperlink>
      <w:r w:rsidRPr="00173D90">
        <w:rPr>
          <w:rFonts w:asciiTheme="minorHAnsi" w:hAnsiTheme="minorHAnsi" w:cstheme="minorHAnsi"/>
          <w:sz w:val="22"/>
          <w:szCs w:val="22"/>
        </w:rPr>
        <w:t xml:space="preserve"> relative à l’o</w:t>
      </w:r>
      <w:r w:rsidRPr="00173D90">
        <w:rPr>
          <w:rFonts w:asciiTheme="minorHAnsi" w:hAnsiTheme="minorHAnsi" w:cstheme="minorHAnsi"/>
          <w:bCs/>
          <w:sz w:val="22"/>
          <w:szCs w:val="22"/>
        </w:rPr>
        <w:t>rganisation des sorties et voyages scolaires dans les écoles, les collèges et les lycées publics</w:t>
      </w:r>
      <w:r>
        <w:rPr>
          <w:rFonts w:asciiTheme="minorHAnsi" w:hAnsiTheme="minorHAnsi" w:cstheme="minorHAnsi"/>
          <w:bCs/>
          <w:sz w:val="22"/>
          <w:szCs w:val="22"/>
        </w:rPr>
        <w:br/>
      </w:r>
      <w:r>
        <w:rPr>
          <w:rFonts w:asciiTheme="minorHAnsi" w:hAnsiTheme="minorHAnsi" w:cstheme="minorHAnsi"/>
          <w:bCs/>
          <w:sz w:val="22"/>
          <w:szCs w:val="22"/>
        </w:rPr>
        <w:br/>
        <w:t>BOENJS n° 30 du 25 juillet 2024</w:t>
      </w:r>
      <w:r>
        <w:rPr>
          <w:rFonts w:asciiTheme="minorHAnsi" w:hAnsiTheme="minorHAnsi" w:cstheme="minorHAnsi"/>
          <w:bCs/>
          <w:sz w:val="22"/>
          <w:szCs w:val="22"/>
        </w:rPr>
        <w:br/>
      </w:r>
      <w:r>
        <w:rPr>
          <w:rFonts w:asciiTheme="minorHAnsi" w:hAnsiTheme="minorHAnsi" w:cstheme="minorHAnsi"/>
          <w:bCs/>
          <w:sz w:val="22"/>
          <w:szCs w:val="22"/>
        </w:rPr>
        <w:br/>
      </w:r>
      <w:r w:rsidRPr="00173D90">
        <w:rPr>
          <w:rFonts w:asciiTheme="minorHAnsi" w:hAnsiTheme="minorHAnsi" w:cstheme="minorHAnsi"/>
          <w:color w:val="000000"/>
          <w:sz w:val="22"/>
          <w:szCs w:val="22"/>
        </w:rPr>
        <w:t>Les sorties scolaires obligatoires se déroulent durant les heures d’enseignement inscrites à l’emploi du temps des élèves et impliquent une assiduité identique. Elles peuvent comprendre la pause méridienne.</w:t>
      </w:r>
      <w:r w:rsidRPr="00173D90">
        <w:rPr>
          <w:rFonts w:asciiTheme="minorHAnsi" w:hAnsiTheme="minorHAnsi" w:cstheme="minorHAnsi"/>
          <w:color w:val="000000"/>
          <w:sz w:val="22"/>
          <w:szCs w:val="22"/>
        </w:rPr>
        <w:t xml:space="preserve"> </w:t>
      </w:r>
      <w:r w:rsidRPr="00173D90">
        <w:rPr>
          <w:rFonts w:asciiTheme="minorHAnsi" w:hAnsiTheme="minorHAnsi" w:cstheme="minorHAnsi"/>
          <w:color w:val="000000"/>
          <w:sz w:val="22"/>
          <w:szCs w:val="22"/>
        </w:rPr>
        <w:t>Les autres sorties scolaires sont facultatives. Elles incluent notamment les sorties scolaires sans nuitée qui ont lieu dans les pays étrangers frontaliers et les voyages scolaires, qui sont des sorties scolaires facultatives comprenant une ou plusieurs nuitées se déroulant en partie hors temps scolaire.</w:t>
      </w:r>
    </w:p>
    <w:p w:rsidR="00173D90" w:rsidRPr="00173D90" w:rsidRDefault="00173D90" w:rsidP="00173D90">
      <w:pPr>
        <w:pStyle w:val="NormalWeb"/>
        <w:rPr>
          <w:rFonts w:asciiTheme="minorHAnsi" w:hAnsiTheme="minorHAnsi" w:cstheme="minorHAnsi"/>
          <w:color w:val="000000"/>
          <w:sz w:val="22"/>
          <w:szCs w:val="22"/>
        </w:rPr>
      </w:pPr>
      <w:r w:rsidRPr="00173D90">
        <w:rPr>
          <w:rFonts w:asciiTheme="minorHAnsi" w:hAnsiTheme="minorHAnsi" w:cstheme="minorHAnsi"/>
          <w:color w:val="000000"/>
          <w:sz w:val="22"/>
          <w:szCs w:val="22"/>
        </w:rPr>
        <w:t>La présente circulaire fixe les principes généraux qui leur sont applicables. S’inscrivant dans la continuité des travaux initiés avec la publication du catalogue national des structures d’accueil et d’hébergement, elle poursuit un triple objectif : simplifier durablement l’organisation des voyages scolaires ; favoriser la participation de tous les élèves aux sorties scolaires en y associant étroitement les parents ; harmoniser le traitement des demandes d’autorisation de sorties scolaires sur le territoire national.</w:t>
      </w:r>
      <w:r w:rsidRPr="00173D90">
        <w:rPr>
          <w:rFonts w:asciiTheme="minorHAnsi" w:hAnsiTheme="minorHAnsi" w:cstheme="minorHAnsi"/>
          <w:color w:val="000000"/>
          <w:sz w:val="22"/>
          <w:szCs w:val="22"/>
        </w:rPr>
        <w:t xml:space="preserve"> </w:t>
      </w:r>
      <w:r w:rsidRPr="00173D90">
        <w:rPr>
          <w:rFonts w:asciiTheme="minorHAnsi" w:hAnsiTheme="minorHAnsi" w:cstheme="minorHAnsi"/>
          <w:color w:val="000000"/>
          <w:sz w:val="22"/>
          <w:szCs w:val="22"/>
        </w:rPr>
        <w:t>Des fiches pratiques, disponibles sur le site </w:t>
      </w:r>
      <w:hyperlink r:id="rId13" w:tooltip="éduscol" w:history="1">
        <w:proofErr w:type="spellStart"/>
        <w:r w:rsidRPr="00173D90">
          <w:rPr>
            <w:rStyle w:val="Lienhypertexte"/>
            <w:rFonts w:asciiTheme="minorHAnsi" w:hAnsiTheme="minorHAnsi" w:cstheme="minorHAnsi"/>
            <w:color w:val="000000"/>
            <w:sz w:val="22"/>
            <w:szCs w:val="22"/>
          </w:rPr>
          <w:t>éduscol</w:t>
        </w:r>
        <w:proofErr w:type="spellEnd"/>
      </w:hyperlink>
      <w:r w:rsidRPr="00173D90">
        <w:rPr>
          <w:rFonts w:asciiTheme="minorHAnsi" w:hAnsiTheme="minorHAnsi" w:cstheme="minorHAnsi"/>
          <w:color w:val="000000"/>
          <w:sz w:val="22"/>
          <w:szCs w:val="22"/>
        </w:rPr>
        <w:t>, précisent les conditions d’organisation et la procédure d’autorisation à destination des équipes éducative</w:t>
      </w:r>
      <w:r>
        <w:rPr>
          <w:rFonts w:asciiTheme="minorHAnsi" w:hAnsiTheme="minorHAnsi" w:cstheme="minorHAnsi"/>
          <w:color w:val="000000"/>
          <w:sz w:val="22"/>
          <w:szCs w:val="22"/>
        </w:rPr>
        <w:t>s</w:t>
      </w:r>
      <w:bookmarkStart w:id="0" w:name="_GoBack"/>
      <w:bookmarkEnd w:id="0"/>
      <w:r>
        <w:rPr>
          <w:rFonts w:asciiTheme="minorHAnsi" w:hAnsiTheme="minorHAnsi" w:cstheme="minorHAnsi"/>
          <w:color w:val="000000"/>
          <w:sz w:val="22"/>
          <w:szCs w:val="22"/>
        </w:rPr>
        <w:t>.</w:t>
      </w:r>
    </w:p>
    <w:p w:rsidR="00173D90" w:rsidRPr="00173D90" w:rsidRDefault="00173D90" w:rsidP="00173D90">
      <w:pPr>
        <w:pStyle w:val="Titre2"/>
        <w:spacing w:before="450" w:after="450"/>
        <w:rPr>
          <w:rFonts w:asciiTheme="minorHAnsi" w:hAnsiTheme="minorHAnsi" w:cstheme="minorHAnsi"/>
          <w:color w:val="auto"/>
          <w:sz w:val="22"/>
          <w:szCs w:val="22"/>
        </w:rPr>
      </w:pPr>
    </w:p>
    <w:p w:rsidR="00320664" w:rsidRPr="0039015B" w:rsidRDefault="00320664">
      <w:pPr>
        <w:spacing w:after="160" w:line="259" w:lineRule="auto"/>
        <w:rPr>
          <w:rFonts w:eastAsia="Times New Roman" w:cstheme="minorHAnsi"/>
          <w:color w:val="000000"/>
          <w:lang w:eastAsia="fr-FR"/>
        </w:rPr>
      </w:pPr>
      <w:r w:rsidRPr="0039015B">
        <w:rPr>
          <w:rFonts w:cstheme="minorHAnsi"/>
          <w:color w:val="000000"/>
        </w:rPr>
        <w:br w:type="page"/>
      </w:r>
    </w:p>
    <w:p w:rsidR="00320664" w:rsidRPr="00320664" w:rsidRDefault="00320664" w:rsidP="00320664">
      <w:pPr>
        <w:spacing w:after="100" w:afterAutospacing="1" w:line="240" w:lineRule="auto"/>
        <w:rPr>
          <w:rFonts w:eastAsia="Times New Roman" w:cstheme="minorHAnsi"/>
          <w:color w:val="000000"/>
          <w:lang w:eastAsia="fr-FR"/>
        </w:rPr>
      </w:pPr>
      <w:r w:rsidRPr="00320664">
        <w:rPr>
          <w:rFonts w:eastAsia="Times New Roman" w:cstheme="minorHAnsi"/>
          <w:color w:val="000000"/>
          <w:lang w:eastAsia="fr-FR"/>
        </w:rPr>
        <w:lastRenderedPageBreak/>
        <w:t>Le choix d’orientation des élèves est trop souvent déterminé par leur environnement social, familial et territorial. D’une part, il est marqué par le capital social et les catégories socio-professionnelles des parents. D’autre part, le lieu d’habitation des élèves impacte leur accès au milieu professionnel. La découverte des métiers vise à répondre à l’enjeu majeur de justice sociale et de réduction des inégalités sociales et territoriales grâce notamment à la séquence d’observation obligatoire en classe de troisième.</w:t>
      </w:r>
    </w:p>
    <w:p w:rsidR="00320664" w:rsidRPr="0039015B" w:rsidRDefault="00320664" w:rsidP="00320664">
      <w:pPr>
        <w:pStyle w:val="Titre2"/>
        <w:spacing w:before="450" w:after="450"/>
        <w:rPr>
          <w:rFonts w:asciiTheme="minorHAnsi" w:hAnsiTheme="minorHAnsi" w:cstheme="minorHAnsi"/>
          <w:sz w:val="22"/>
          <w:szCs w:val="22"/>
        </w:rPr>
      </w:pPr>
    </w:p>
    <w:p w:rsidR="00320664" w:rsidRPr="00320664" w:rsidRDefault="00320664" w:rsidP="00320664">
      <w:pPr>
        <w:spacing w:after="100" w:afterAutospacing="1" w:line="240" w:lineRule="auto"/>
        <w:rPr>
          <w:rFonts w:eastAsia="Times New Roman" w:cstheme="minorHAnsi"/>
          <w:color w:val="000000"/>
          <w:lang w:eastAsia="fr-FR"/>
        </w:rPr>
      </w:pPr>
    </w:p>
    <w:p w:rsidR="00320664" w:rsidRPr="00320664" w:rsidRDefault="00320664" w:rsidP="00320664">
      <w:pPr>
        <w:pStyle w:val="Titre2"/>
        <w:spacing w:before="450" w:after="450"/>
        <w:rPr>
          <w:rFonts w:asciiTheme="minorHAnsi" w:hAnsiTheme="minorHAnsi" w:cstheme="minorHAnsi"/>
          <w:color w:val="auto"/>
          <w:sz w:val="22"/>
          <w:szCs w:val="22"/>
        </w:rPr>
      </w:pPr>
      <w:r>
        <w:rPr>
          <w:rFonts w:asciiTheme="minorHAnsi" w:hAnsiTheme="minorHAnsi" w:cstheme="minorHAnsi"/>
          <w:bCs/>
          <w:color w:val="auto"/>
          <w:sz w:val="22"/>
          <w:szCs w:val="22"/>
        </w:rPr>
        <w:br/>
      </w:r>
      <w:r>
        <w:rPr>
          <w:rFonts w:asciiTheme="minorHAnsi" w:hAnsiTheme="minorHAnsi" w:cstheme="minorHAnsi"/>
          <w:bCs/>
          <w:color w:val="auto"/>
          <w:sz w:val="22"/>
          <w:szCs w:val="22"/>
        </w:rPr>
        <w:br/>
      </w:r>
    </w:p>
    <w:p w:rsidR="00320664" w:rsidRPr="00320664" w:rsidRDefault="00320664" w:rsidP="00320664">
      <w:pPr>
        <w:rPr>
          <w:rFonts w:cstheme="minorHAnsi"/>
          <w:b/>
        </w:rPr>
      </w:pPr>
    </w:p>
    <w:p w:rsidR="00F26AB6" w:rsidRPr="007B4062" w:rsidRDefault="00F26AB6" w:rsidP="007B4062">
      <w:pPr>
        <w:rPr>
          <w:b/>
        </w:rPr>
      </w:pPr>
    </w:p>
    <w:sectPr w:rsidR="00F26AB6" w:rsidRPr="007B406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C56" w:rsidRDefault="00572C56" w:rsidP="00943B28">
      <w:pPr>
        <w:spacing w:after="0" w:line="240" w:lineRule="auto"/>
      </w:pPr>
      <w:r>
        <w:separator/>
      </w:r>
    </w:p>
  </w:endnote>
  <w:endnote w:type="continuationSeparator" w:id="0">
    <w:p w:rsidR="00572C56" w:rsidRDefault="00572C56"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173D90">
          <w:rPr>
            <w:noProof/>
          </w:rPr>
          <w:t>3</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C56" w:rsidRDefault="00572C56" w:rsidP="00943B28">
      <w:pPr>
        <w:spacing w:after="0" w:line="240" w:lineRule="auto"/>
      </w:pPr>
      <w:r>
        <w:separator/>
      </w:r>
    </w:p>
  </w:footnote>
  <w:footnote w:type="continuationSeparator" w:id="0">
    <w:p w:rsidR="00572C56" w:rsidRDefault="00572C56"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8"/>
  </w:num>
  <w:num w:numId="3">
    <w:abstractNumId w:val="30"/>
  </w:num>
  <w:num w:numId="4">
    <w:abstractNumId w:val="11"/>
  </w:num>
  <w:num w:numId="5">
    <w:abstractNumId w:val="0"/>
  </w:num>
  <w:num w:numId="6">
    <w:abstractNumId w:val="9"/>
  </w:num>
  <w:num w:numId="7">
    <w:abstractNumId w:val="3"/>
  </w:num>
  <w:num w:numId="8">
    <w:abstractNumId w:val="15"/>
  </w:num>
  <w:num w:numId="9">
    <w:abstractNumId w:val="19"/>
  </w:num>
  <w:num w:numId="10">
    <w:abstractNumId w:val="18"/>
  </w:num>
  <w:num w:numId="11">
    <w:abstractNumId w:val="6"/>
  </w:num>
  <w:num w:numId="12">
    <w:abstractNumId w:val="8"/>
  </w:num>
  <w:num w:numId="13">
    <w:abstractNumId w:val="7"/>
  </w:num>
  <w:num w:numId="14">
    <w:abstractNumId w:val="10"/>
  </w:num>
  <w:num w:numId="15">
    <w:abstractNumId w:val="2"/>
  </w:num>
  <w:num w:numId="16">
    <w:abstractNumId w:val="17"/>
  </w:num>
  <w:num w:numId="17">
    <w:abstractNumId w:val="27"/>
  </w:num>
  <w:num w:numId="18">
    <w:abstractNumId w:val="1"/>
  </w:num>
  <w:num w:numId="19">
    <w:abstractNumId w:val="13"/>
  </w:num>
  <w:num w:numId="20">
    <w:abstractNumId w:val="29"/>
  </w:num>
  <w:num w:numId="21">
    <w:abstractNumId w:val="16"/>
  </w:num>
  <w:num w:numId="22">
    <w:abstractNumId w:val="26"/>
  </w:num>
  <w:num w:numId="23">
    <w:abstractNumId w:val="5"/>
  </w:num>
  <w:num w:numId="24">
    <w:abstractNumId w:val="14"/>
  </w:num>
  <w:num w:numId="25">
    <w:abstractNumId w:val="22"/>
  </w:num>
  <w:num w:numId="26">
    <w:abstractNumId w:val="25"/>
  </w:num>
  <w:num w:numId="27">
    <w:abstractNumId w:val="23"/>
  </w:num>
  <w:num w:numId="28">
    <w:abstractNumId w:val="21"/>
  </w:num>
  <w:num w:numId="29">
    <w:abstractNumId w:val="24"/>
  </w:num>
  <w:num w:numId="30">
    <w:abstractNumId w:val="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417BA"/>
    <w:rsid w:val="00042D6C"/>
    <w:rsid w:val="00052B88"/>
    <w:rsid w:val="000550BB"/>
    <w:rsid w:val="0005592C"/>
    <w:rsid w:val="00061880"/>
    <w:rsid w:val="00062B48"/>
    <w:rsid w:val="00063E56"/>
    <w:rsid w:val="0006546C"/>
    <w:rsid w:val="0006625B"/>
    <w:rsid w:val="00080F86"/>
    <w:rsid w:val="0008416D"/>
    <w:rsid w:val="0009031E"/>
    <w:rsid w:val="00090E43"/>
    <w:rsid w:val="00092775"/>
    <w:rsid w:val="0009519B"/>
    <w:rsid w:val="00096BAE"/>
    <w:rsid w:val="000A0F30"/>
    <w:rsid w:val="000A2331"/>
    <w:rsid w:val="000A3DA9"/>
    <w:rsid w:val="000A4FD1"/>
    <w:rsid w:val="000A7B61"/>
    <w:rsid w:val="000C4C9E"/>
    <w:rsid w:val="000D0CAE"/>
    <w:rsid w:val="000D111E"/>
    <w:rsid w:val="000E4A2F"/>
    <w:rsid w:val="001170D3"/>
    <w:rsid w:val="00120EA8"/>
    <w:rsid w:val="00140FBE"/>
    <w:rsid w:val="001450BC"/>
    <w:rsid w:val="00152876"/>
    <w:rsid w:val="0015331B"/>
    <w:rsid w:val="00173D90"/>
    <w:rsid w:val="00176BC1"/>
    <w:rsid w:val="0017700D"/>
    <w:rsid w:val="00187C0B"/>
    <w:rsid w:val="001971C7"/>
    <w:rsid w:val="001A447F"/>
    <w:rsid w:val="001B56A7"/>
    <w:rsid w:val="001C175F"/>
    <w:rsid w:val="001C3388"/>
    <w:rsid w:val="001D0369"/>
    <w:rsid w:val="001E6DF6"/>
    <w:rsid w:val="001F2016"/>
    <w:rsid w:val="002027D6"/>
    <w:rsid w:val="002046A4"/>
    <w:rsid w:val="002112F7"/>
    <w:rsid w:val="00213DFC"/>
    <w:rsid w:val="00216DBB"/>
    <w:rsid w:val="00220D26"/>
    <w:rsid w:val="00220F47"/>
    <w:rsid w:val="00223DD0"/>
    <w:rsid w:val="00225549"/>
    <w:rsid w:val="002324EE"/>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3050F2"/>
    <w:rsid w:val="00310CE9"/>
    <w:rsid w:val="00311061"/>
    <w:rsid w:val="00311069"/>
    <w:rsid w:val="003122A0"/>
    <w:rsid w:val="003154FB"/>
    <w:rsid w:val="00316F2A"/>
    <w:rsid w:val="00320664"/>
    <w:rsid w:val="00322180"/>
    <w:rsid w:val="00326987"/>
    <w:rsid w:val="00334CB9"/>
    <w:rsid w:val="003371A7"/>
    <w:rsid w:val="0034134E"/>
    <w:rsid w:val="00341BAC"/>
    <w:rsid w:val="00342E30"/>
    <w:rsid w:val="003468B2"/>
    <w:rsid w:val="00350E31"/>
    <w:rsid w:val="00361C22"/>
    <w:rsid w:val="00373AF6"/>
    <w:rsid w:val="00376092"/>
    <w:rsid w:val="003805B2"/>
    <w:rsid w:val="00381724"/>
    <w:rsid w:val="00386267"/>
    <w:rsid w:val="0039015B"/>
    <w:rsid w:val="00391D5E"/>
    <w:rsid w:val="0039202C"/>
    <w:rsid w:val="00397479"/>
    <w:rsid w:val="003A05EC"/>
    <w:rsid w:val="003B2C9F"/>
    <w:rsid w:val="003B5B63"/>
    <w:rsid w:val="003C12BD"/>
    <w:rsid w:val="003F3A5B"/>
    <w:rsid w:val="003F3CE4"/>
    <w:rsid w:val="004115A4"/>
    <w:rsid w:val="00411EF4"/>
    <w:rsid w:val="00426574"/>
    <w:rsid w:val="00430648"/>
    <w:rsid w:val="004431FE"/>
    <w:rsid w:val="004440D3"/>
    <w:rsid w:val="00445921"/>
    <w:rsid w:val="00447CCA"/>
    <w:rsid w:val="00447FCE"/>
    <w:rsid w:val="004550D6"/>
    <w:rsid w:val="00460340"/>
    <w:rsid w:val="00461FF0"/>
    <w:rsid w:val="00463496"/>
    <w:rsid w:val="00464233"/>
    <w:rsid w:val="00467419"/>
    <w:rsid w:val="00474371"/>
    <w:rsid w:val="00477D8B"/>
    <w:rsid w:val="00480478"/>
    <w:rsid w:val="004831C1"/>
    <w:rsid w:val="0049467C"/>
    <w:rsid w:val="004A4860"/>
    <w:rsid w:val="004B2B29"/>
    <w:rsid w:val="004B3CAC"/>
    <w:rsid w:val="004B7585"/>
    <w:rsid w:val="004C0009"/>
    <w:rsid w:val="004D0004"/>
    <w:rsid w:val="004D008F"/>
    <w:rsid w:val="004E4229"/>
    <w:rsid w:val="004F13E7"/>
    <w:rsid w:val="0052310B"/>
    <w:rsid w:val="00545BA6"/>
    <w:rsid w:val="00546A8C"/>
    <w:rsid w:val="00571076"/>
    <w:rsid w:val="00572C56"/>
    <w:rsid w:val="0058346F"/>
    <w:rsid w:val="0059701E"/>
    <w:rsid w:val="005A246C"/>
    <w:rsid w:val="005B2429"/>
    <w:rsid w:val="005C1B48"/>
    <w:rsid w:val="005C2D73"/>
    <w:rsid w:val="005C4276"/>
    <w:rsid w:val="005F3C35"/>
    <w:rsid w:val="00600BFE"/>
    <w:rsid w:val="006047B7"/>
    <w:rsid w:val="00607326"/>
    <w:rsid w:val="006219BB"/>
    <w:rsid w:val="0062201E"/>
    <w:rsid w:val="0062311D"/>
    <w:rsid w:val="00630368"/>
    <w:rsid w:val="00631D1F"/>
    <w:rsid w:val="00634C9B"/>
    <w:rsid w:val="006434AD"/>
    <w:rsid w:val="006526D8"/>
    <w:rsid w:val="0065783B"/>
    <w:rsid w:val="006706F2"/>
    <w:rsid w:val="00673E00"/>
    <w:rsid w:val="00680B28"/>
    <w:rsid w:val="006923D3"/>
    <w:rsid w:val="006976EB"/>
    <w:rsid w:val="006B182D"/>
    <w:rsid w:val="006B25CA"/>
    <w:rsid w:val="006B28BD"/>
    <w:rsid w:val="006B4E56"/>
    <w:rsid w:val="006B6C2A"/>
    <w:rsid w:val="006C6087"/>
    <w:rsid w:val="006E0B62"/>
    <w:rsid w:val="006F4CC4"/>
    <w:rsid w:val="00701690"/>
    <w:rsid w:val="00712E7A"/>
    <w:rsid w:val="00713A6A"/>
    <w:rsid w:val="00714C03"/>
    <w:rsid w:val="00716728"/>
    <w:rsid w:val="0071777C"/>
    <w:rsid w:val="0072010E"/>
    <w:rsid w:val="0072136B"/>
    <w:rsid w:val="0072717D"/>
    <w:rsid w:val="00736600"/>
    <w:rsid w:val="00736A4A"/>
    <w:rsid w:val="00741511"/>
    <w:rsid w:val="00744AA6"/>
    <w:rsid w:val="007502A0"/>
    <w:rsid w:val="00751F78"/>
    <w:rsid w:val="007752EB"/>
    <w:rsid w:val="00781B4C"/>
    <w:rsid w:val="007827F8"/>
    <w:rsid w:val="00790C51"/>
    <w:rsid w:val="007944D3"/>
    <w:rsid w:val="007A1C07"/>
    <w:rsid w:val="007A52B2"/>
    <w:rsid w:val="007B15CB"/>
    <w:rsid w:val="007B4062"/>
    <w:rsid w:val="007C0AF4"/>
    <w:rsid w:val="007C1433"/>
    <w:rsid w:val="007C7E2C"/>
    <w:rsid w:val="007D0BA1"/>
    <w:rsid w:val="007D0CB4"/>
    <w:rsid w:val="007D503B"/>
    <w:rsid w:val="007E2E13"/>
    <w:rsid w:val="007F0E25"/>
    <w:rsid w:val="007F0F0C"/>
    <w:rsid w:val="007F49A5"/>
    <w:rsid w:val="007F5A53"/>
    <w:rsid w:val="00800061"/>
    <w:rsid w:val="0080570A"/>
    <w:rsid w:val="0081640E"/>
    <w:rsid w:val="008250B5"/>
    <w:rsid w:val="00834071"/>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640E"/>
    <w:rsid w:val="008F464E"/>
    <w:rsid w:val="008F6F0D"/>
    <w:rsid w:val="0090002E"/>
    <w:rsid w:val="00901B92"/>
    <w:rsid w:val="009023CD"/>
    <w:rsid w:val="00905E92"/>
    <w:rsid w:val="00905FF3"/>
    <w:rsid w:val="0091538B"/>
    <w:rsid w:val="00924296"/>
    <w:rsid w:val="009305BB"/>
    <w:rsid w:val="00930CDA"/>
    <w:rsid w:val="00937E69"/>
    <w:rsid w:val="00943B28"/>
    <w:rsid w:val="0094467F"/>
    <w:rsid w:val="009526F4"/>
    <w:rsid w:val="009572AD"/>
    <w:rsid w:val="0096235B"/>
    <w:rsid w:val="009652A7"/>
    <w:rsid w:val="0097253A"/>
    <w:rsid w:val="009779AD"/>
    <w:rsid w:val="00977B6A"/>
    <w:rsid w:val="009A0803"/>
    <w:rsid w:val="009A1B53"/>
    <w:rsid w:val="009A3961"/>
    <w:rsid w:val="009B0A1C"/>
    <w:rsid w:val="009C1C28"/>
    <w:rsid w:val="009C51E3"/>
    <w:rsid w:val="009C7C84"/>
    <w:rsid w:val="009D45A0"/>
    <w:rsid w:val="009D481B"/>
    <w:rsid w:val="009E14B0"/>
    <w:rsid w:val="009E6DB7"/>
    <w:rsid w:val="009F0AD0"/>
    <w:rsid w:val="00A0075B"/>
    <w:rsid w:val="00A0415A"/>
    <w:rsid w:val="00A04DE2"/>
    <w:rsid w:val="00A0631E"/>
    <w:rsid w:val="00A07A83"/>
    <w:rsid w:val="00A17D45"/>
    <w:rsid w:val="00A20191"/>
    <w:rsid w:val="00A21DEB"/>
    <w:rsid w:val="00A304F7"/>
    <w:rsid w:val="00A63ABC"/>
    <w:rsid w:val="00A64284"/>
    <w:rsid w:val="00A75ACD"/>
    <w:rsid w:val="00A76E4C"/>
    <w:rsid w:val="00A91312"/>
    <w:rsid w:val="00A942F3"/>
    <w:rsid w:val="00A97284"/>
    <w:rsid w:val="00A97B8A"/>
    <w:rsid w:val="00AA412D"/>
    <w:rsid w:val="00AB1661"/>
    <w:rsid w:val="00AB521C"/>
    <w:rsid w:val="00AB6042"/>
    <w:rsid w:val="00AC01C1"/>
    <w:rsid w:val="00AC4290"/>
    <w:rsid w:val="00AC5BCC"/>
    <w:rsid w:val="00AD3799"/>
    <w:rsid w:val="00AD43ED"/>
    <w:rsid w:val="00AE12BB"/>
    <w:rsid w:val="00B03E0E"/>
    <w:rsid w:val="00B042D6"/>
    <w:rsid w:val="00B11255"/>
    <w:rsid w:val="00B116F4"/>
    <w:rsid w:val="00B1217E"/>
    <w:rsid w:val="00B12E78"/>
    <w:rsid w:val="00B17E62"/>
    <w:rsid w:val="00B21FE5"/>
    <w:rsid w:val="00B2213E"/>
    <w:rsid w:val="00B3211F"/>
    <w:rsid w:val="00B33688"/>
    <w:rsid w:val="00B3470A"/>
    <w:rsid w:val="00B514D5"/>
    <w:rsid w:val="00B51FD3"/>
    <w:rsid w:val="00B62CA3"/>
    <w:rsid w:val="00B6679B"/>
    <w:rsid w:val="00B71459"/>
    <w:rsid w:val="00B8171F"/>
    <w:rsid w:val="00B83245"/>
    <w:rsid w:val="00BA32C4"/>
    <w:rsid w:val="00BA5951"/>
    <w:rsid w:val="00BA668C"/>
    <w:rsid w:val="00BB7527"/>
    <w:rsid w:val="00BC0CAD"/>
    <w:rsid w:val="00BC5638"/>
    <w:rsid w:val="00BD5A23"/>
    <w:rsid w:val="00BD6A01"/>
    <w:rsid w:val="00BE66ED"/>
    <w:rsid w:val="00BF4B88"/>
    <w:rsid w:val="00BF646B"/>
    <w:rsid w:val="00BF6976"/>
    <w:rsid w:val="00C1779F"/>
    <w:rsid w:val="00C20B73"/>
    <w:rsid w:val="00C24D17"/>
    <w:rsid w:val="00C27709"/>
    <w:rsid w:val="00C32275"/>
    <w:rsid w:val="00C45C3F"/>
    <w:rsid w:val="00C46DD3"/>
    <w:rsid w:val="00C55DC0"/>
    <w:rsid w:val="00C67733"/>
    <w:rsid w:val="00C71A8D"/>
    <w:rsid w:val="00C74FA2"/>
    <w:rsid w:val="00C76C36"/>
    <w:rsid w:val="00CA4D66"/>
    <w:rsid w:val="00CA6DB0"/>
    <w:rsid w:val="00CB0AE5"/>
    <w:rsid w:val="00CB1A6D"/>
    <w:rsid w:val="00CC1DE9"/>
    <w:rsid w:val="00CC36AF"/>
    <w:rsid w:val="00CC4FB0"/>
    <w:rsid w:val="00CC4FC0"/>
    <w:rsid w:val="00CD1D11"/>
    <w:rsid w:val="00CE67DE"/>
    <w:rsid w:val="00CE698E"/>
    <w:rsid w:val="00CE7FD1"/>
    <w:rsid w:val="00CF27CD"/>
    <w:rsid w:val="00CF6FCC"/>
    <w:rsid w:val="00CF707F"/>
    <w:rsid w:val="00D019D3"/>
    <w:rsid w:val="00D02D4B"/>
    <w:rsid w:val="00D12233"/>
    <w:rsid w:val="00D21DA0"/>
    <w:rsid w:val="00D24596"/>
    <w:rsid w:val="00D27FE4"/>
    <w:rsid w:val="00D300B9"/>
    <w:rsid w:val="00D365EC"/>
    <w:rsid w:val="00D415CA"/>
    <w:rsid w:val="00D42A0F"/>
    <w:rsid w:val="00D444DF"/>
    <w:rsid w:val="00D52B3E"/>
    <w:rsid w:val="00D565EB"/>
    <w:rsid w:val="00D81B58"/>
    <w:rsid w:val="00D90981"/>
    <w:rsid w:val="00D95EA0"/>
    <w:rsid w:val="00D97151"/>
    <w:rsid w:val="00DA4B83"/>
    <w:rsid w:val="00DB2DAA"/>
    <w:rsid w:val="00DC3C06"/>
    <w:rsid w:val="00DC5E17"/>
    <w:rsid w:val="00DD248A"/>
    <w:rsid w:val="00DD26AF"/>
    <w:rsid w:val="00DD283F"/>
    <w:rsid w:val="00DE3342"/>
    <w:rsid w:val="00DE36D5"/>
    <w:rsid w:val="00DE3C80"/>
    <w:rsid w:val="00DE67F1"/>
    <w:rsid w:val="00DF0284"/>
    <w:rsid w:val="00DF3DB1"/>
    <w:rsid w:val="00E03B9D"/>
    <w:rsid w:val="00E06030"/>
    <w:rsid w:val="00E129C9"/>
    <w:rsid w:val="00E156F2"/>
    <w:rsid w:val="00E15CAF"/>
    <w:rsid w:val="00E17983"/>
    <w:rsid w:val="00E2138E"/>
    <w:rsid w:val="00E63653"/>
    <w:rsid w:val="00E67445"/>
    <w:rsid w:val="00E7518A"/>
    <w:rsid w:val="00E75703"/>
    <w:rsid w:val="00E875BE"/>
    <w:rsid w:val="00E90886"/>
    <w:rsid w:val="00EA0630"/>
    <w:rsid w:val="00EA214F"/>
    <w:rsid w:val="00EA30F6"/>
    <w:rsid w:val="00EA4AB7"/>
    <w:rsid w:val="00EB01E4"/>
    <w:rsid w:val="00EB6F38"/>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6AB6"/>
    <w:rsid w:val="00F27A4E"/>
    <w:rsid w:val="00F413E5"/>
    <w:rsid w:val="00F42078"/>
    <w:rsid w:val="00F43677"/>
    <w:rsid w:val="00F6302F"/>
    <w:rsid w:val="00F65FD2"/>
    <w:rsid w:val="00F81651"/>
    <w:rsid w:val="00F953B5"/>
    <w:rsid w:val="00FA2AA9"/>
    <w:rsid w:val="00FA3425"/>
    <w:rsid w:val="00FA5381"/>
    <w:rsid w:val="00FC11B3"/>
    <w:rsid w:val="00FE1A71"/>
    <w:rsid w:val="00FE51E5"/>
    <w:rsid w:val="00FE571D"/>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4899"/>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22745162">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87794064">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1974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5535254">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092265647">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4347100">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scol.education.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gouv.fr/bo/2024/Hebdo30/MENE2407159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uv.fr/bo/2024/Hebdo29/MENE2407449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ducation.gouv.fr/bo/2024/Hebdo29/MENE2418500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5A562-1D65-4C73-A52C-653192EB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3</Pages>
  <Words>599</Words>
  <Characters>3295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417</cp:revision>
  <dcterms:created xsi:type="dcterms:W3CDTF">2021-03-23T13:03:00Z</dcterms:created>
  <dcterms:modified xsi:type="dcterms:W3CDTF">2024-08-19T08:28:00Z</dcterms:modified>
</cp:coreProperties>
</file>