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43</w:t>
      </w:r>
      <w:r w:rsidR="003A05EC">
        <w:rPr>
          <w:b/>
        </w:rPr>
        <w:t xml:space="preserve"> du </w:t>
      </w:r>
      <w:r w:rsidR="001E5664">
        <w:rPr>
          <w:b/>
        </w:rPr>
        <w:t>27 novembre</w:t>
      </w:r>
      <w:r w:rsidR="00E67445">
        <w:rPr>
          <w:b/>
        </w:rPr>
        <w:t xml:space="preserve"> 202</w:t>
      </w:r>
      <w:r w:rsidR="00545BA6">
        <w:rPr>
          <w:b/>
        </w:rPr>
        <w:t>4</w:t>
      </w:r>
    </w:p>
    <w:p w:rsidR="00CF5F72" w:rsidRDefault="00CF5F72" w:rsidP="00A0631E">
      <w:pPr>
        <w:jc w:val="center"/>
        <w:rPr>
          <w:b/>
        </w:rPr>
      </w:pPr>
      <w:r>
        <w:rPr>
          <w:b/>
        </w:rPr>
        <w:t>Solde de la taxe d’apprentissage</w:t>
      </w:r>
      <w:bookmarkStart w:id="0" w:name="_GoBack"/>
      <w:bookmarkEnd w:id="0"/>
    </w:p>
    <w:p w:rsidR="00A17D45" w:rsidRDefault="00A17D45" w:rsidP="00F26AB6">
      <w:pPr>
        <w:rPr>
          <w:rFonts w:cstheme="minorHAnsi"/>
        </w:rPr>
      </w:pPr>
    </w:p>
    <w:p w:rsidR="001E5664" w:rsidRPr="001E5664" w:rsidRDefault="001E5664" w:rsidP="001E5664">
      <w:pPr>
        <w:pStyle w:val="Titre1"/>
        <w:shd w:val="clear" w:color="auto" w:fill="FFFFFF"/>
        <w:spacing w:before="0" w:after="75"/>
        <w:rPr>
          <w:rFonts w:asciiTheme="minorHAnsi" w:hAnsiTheme="minorHAnsi" w:cstheme="minorHAnsi"/>
          <w:color w:val="auto"/>
          <w:sz w:val="22"/>
          <w:szCs w:val="22"/>
        </w:rPr>
      </w:pPr>
      <w:hyperlink r:id="rId10" w:history="1">
        <w:r w:rsidRPr="001E5664">
          <w:rPr>
            <w:rStyle w:val="Lienhypertexte"/>
            <w:rFonts w:asciiTheme="minorHAnsi" w:hAnsiTheme="minorHAnsi" w:cstheme="minorHAnsi"/>
            <w:bCs/>
            <w:sz w:val="22"/>
            <w:szCs w:val="22"/>
          </w:rPr>
          <w:t>Arrêté du 8 novembre 2024 modifiant l'arrêté du 16 avril 2024</w:t>
        </w:r>
      </w:hyperlink>
      <w:r w:rsidRPr="001E5664">
        <w:rPr>
          <w:rFonts w:asciiTheme="minorHAnsi" w:hAnsiTheme="minorHAnsi" w:cstheme="minorHAnsi"/>
          <w:bCs/>
          <w:color w:val="auto"/>
          <w:sz w:val="22"/>
          <w:szCs w:val="22"/>
        </w:rPr>
        <w:t xml:space="preserve"> relatif au calendrier de répartition et de versement du solde de la taxe d'apprentissage pour la campagne 2024</w:t>
      </w:r>
    </w:p>
    <w:p w:rsidR="001E5664" w:rsidRPr="001E5664" w:rsidRDefault="001E5664" w:rsidP="001E5664">
      <w:pPr>
        <w:pStyle w:val="name-article"/>
        <w:shd w:val="clear" w:color="auto" w:fill="FFFFFF"/>
        <w:spacing w:before="0" w:beforeAutospacing="0" w:after="240" w:afterAutospacing="0"/>
        <w:rPr>
          <w:rFonts w:asciiTheme="minorHAnsi" w:hAnsiTheme="minorHAnsi" w:cstheme="minorHAnsi"/>
          <w:b/>
          <w:bCs/>
          <w:color w:val="4A5E81"/>
          <w:sz w:val="22"/>
          <w:szCs w:val="22"/>
        </w:rPr>
      </w:pPr>
      <w:r>
        <w:rPr>
          <w:b/>
        </w:rPr>
        <w:br/>
      </w:r>
      <w:r w:rsidRPr="001E5664">
        <w:rPr>
          <w:rFonts w:asciiTheme="minorHAnsi" w:hAnsiTheme="minorHAnsi" w:cstheme="minorHAnsi"/>
          <w:sz w:val="22"/>
          <w:szCs w:val="22"/>
        </w:rPr>
        <w:t>Journal officiel du 26 novembre 2024</w:t>
      </w:r>
      <w:r w:rsidRPr="001E5664">
        <w:rPr>
          <w:rFonts w:asciiTheme="minorHAnsi" w:hAnsiTheme="minorHAnsi" w:cstheme="minorHAnsi"/>
          <w:sz w:val="22"/>
          <w:szCs w:val="22"/>
        </w:rPr>
        <w:br/>
      </w:r>
      <w:r w:rsidRPr="001E5664">
        <w:rPr>
          <w:rFonts w:asciiTheme="minorHAnsi" w:hAnsiTheme="minorHAnsi" w:cstheme="minorHAnsi"/>
          <w:sz w:val="22"/>
          <w:szCs w:val="22"/>
        </w:rPr>
        <w:br/>
      </w:r>
      <w:hyperlink r:id="rId11" w:history="1">
        <w:r w:rsidRPr="001E5664">
          <w:rPr>
            <w:rStyle w:val="Lienhypertexte"/>
            <w:rFonts w:asciiTheme="minorHAnsi" w:hAnsiTheme="minorHAnsi" w:cstheme="minorHAnsi"/>
            <w:b/>
            <w:bCs/>
            <w:color w:val="auto"/>
            <w:sz w:val="22"/>
            <w:szCs w:val="22"/>
          </w:rPr>
          <w:t>Article 1</w:t>
        </w:r>
      </w:hyperlink>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Au 2 de l'article 1er de l'arrêté du 16 avril 2024 susvisé, la date : « 4 octobre 2024 » est remplacée par la date : « 25 octobre 2024 ».</w:t>
      </w:r>
    </w:p>
    <w:p w:rsidR="001E5664" w:rsidRPr="001E5664" w:rsidRDefault="001E5664" w:rsidP="001E5664">
      <w:pPr>
        <w:pStyle w:val="name-article"/>
        <w:shd w:val="clear" w:color="auto" w:fill="FFFFFF"/>
        <w:spacing w:before="0" w:beforeAutospacing="0" w:after="240" w:afterAutospacing="0"/>
        <w:rPr>
          <w:rFonts w:asciiTheme="minorHAnsi" w:hAnsiTheme="minorHAnsi" w:cstheme="minorHAnsi"/>
          <w:b/>
          <w:bCs/>
          <w:sz w:val="22"/>
          <w:szCs w:val="22"/>
        </w:rPr>
      </w:pPr>
      <w:hyperlink r:id="rId12" w:history="1">
        <w:r w:rsidRPr="001E5664">
          <w:rPr>
            <w:rStyle w:val="Lienhypertexte"/>
            <w:rFonts w:asciiTheme="minorHAnsi" w:hAnsiTheme="minorHAnsi" w:cstheme="minorHAnsi"/>
            <w:b/>
            <w:bCs/>
            <w:color w:val="auto"/>
            <w:sz w:val="22"/>
            <w:szCs w:val="22"/>
          </w:rPr>
          <w:t>Article 2</w:t>
        </w:r>
      </w:hyperlink>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L'article 3 du même arrêté est ainsi modifié :</w:t>
      </w:r>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 au 2°, la date : « 11 octobre 2024 » est remplacée par la date : « 19 novembre 2024 » ;</w:t>
      </w:r>
      <w:r w:rsidRPr="001E5664">
        <w:rPr>
          <w:rFonts w:asciiTheme="minorHAnsi" w:hAnsiTheme="minorHAnsi" w:cstheme="minorHAnsi"/>
          <w:color w:val="000000"/>
          <w:sz w:val="22"/>
          <w:szCs w:val="22"/>
        </w:rPr>
        <w:br/>
        <w:t>- au 3°, la date : « 25 octobre 2024 » est remplacée par la date : « 27 novembre 2024 ».</w:t>
      </w:r>
    </w:p>
    <w:p w:rsidR="001E5664" w:rsidRPr="001E5664" w:rsidRDefault="001E5664" w:rsidP="001E5664">
      <w:pPr>
        <w:pStyle w:val="name-article"/>
        <w:shd w:val="clear" w:color="auto" w:fill="FFFFFF"/>
        <w:spacing w:before="0" w:beforeAutospacing="0" w:after="240" w:afterAutospacing="0"/>
        <w:rPr>
          <w:rFonts w:asciiTheme="minorHAnsi" w:hAnsiTheme="minorHAnsi" w:cstheme="minorHAnsi"/>
          <w:b/>
          <w:bCs/>
          <w:sz w:val="22"/>
          <w:szCs w:val="22"/>
        </w:rPr>
      </w:pPr>
      <w:hyperlink r:id="rId13" w:history="1">
        <w:r w:rsidRPr="001E5664">
          <w:rPr>
            <w:rStyle w:val="Lienhypertexte"/>
            <w:rFonts w:asciiTheme="minorHAnsi" w:hAnsiTheme="minorHAnsi" w:cstheme="minorHAnsi"/>
            <w:b/>
            <w:bCs/>
            <w:color w:val="auto"/>
            <w:sz w:val="22"/>
            <w:szCs w:val="22"/>
          </w:rPr>
          <w:t>Article 3</w:t>
        </w:r>
      </w:hyperlink>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A l'article 5 du même arrêté, la date : « 25 septembre 2024 » est remplacée par la date : « 25 octobre 2024 ».</w:t>
      </w:r>
    </w:p>
    <w:p w:rsidR="001E5664" w:rsidRDefault="001E5664">
      <w:pPr>
        <w:spacing w:after="160" w:line="259" w:lineRule="auto"/>
      </w:pPr>
      <w:r>
        <w:br w:type="page"/>
      </w:r>
    </w:p>
    <w:p w:rsidR="001E5664" w:rsidRPr="001E5664" w:rsidRDefault="001E5664" w:rsidP="001E5664">
      <w:pPr>
        <w:pStyle w:val="Titre1"/>
        <w:shd w:val="clear" w:color="auto" w:fill="FFFFFF"/>
        <w:spacing w:before="0" w:after="75"/>
        <w:rPr>
          <w:rFonts w:asciiTheme="minorHAnsi" w:hAnsiTheme="minorHAnsi" w:cstheme="minorHAnsi"/>
          <w:color w:val="auto"/>
          <w:sz w:val="22"/>
          <w:szCs w:val="22"/>
        </w:rPr>
      </w:pPr>
      <w:hyperlink r:id="rId14" w:history="1">
        <w:r w:rsidRPr="001E5664">
          <w:rPr>
            <w:rStyle w:val="Lienhypertexte"/>
            <w:rFonts w:asciiTheme="minorHAnsi" w:hAnsiTheme="minorHAnsi" w:cstheme="minorHAnsi"/>
            <w:bCs/>
            <w:sz w:val="22"/>
            <w:szCs w:val="22"/>
          </w:rPr>
          <w:t>Arrêté du 12 novembre 2024</w:t>
        </w:r>
      </w:hyperlink>
      <w:r w:rsidRPr="001E5664">
        <w:rPr>
          <w:rFonts w:asciiTheme="minorHAnsi" w:hAnsiTheme="minorHAnsi" w:cstheme="minorHAnsi"/>
          <w:bCs/>
          <w:color w:val="auto"/>
          <w:sz w:val="22"/>
          <w:szCs w:val="22"/>
        </w:rPr>
        <w:t xml:space="preserve"> relatif aux critères d'affectation du solde de la taxe d'apprentissage mentionnés à l'article R. 6241-28 du code du travail</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26 novembre 2024</w:t>
      </w:r>
    </w:p>
    <w:p w:rsidR="001E5664" w:rsidRPr="001E5664" w:rsidRDefault="001E5664" w:rsidP="001E5664">
      <w:pPr>
        <w:pStyle w:val="name-article"/>
        <w:shd w:val="clear" w:color="auto" w:fill="FFFFFF"/>
        <w:spacing w:before="0" w:beforeAutospacing="0" w:after="240" w:afterAutospacing="0"/>
        <w:rPr>
          <w:rFonts w:asciiTheme="minorHAnsi" w:hAnsiTheme="minorHAnsi" w:cstheme="minorHAnsi"/>
          <w:b/>
          <w:bCs/>
          <w:color w:val="4A5E81"/>
          <w:sz w:val="22"/>
          <w:szCs w:val="22"/>
        </w:rPr>
      </w:pPr>
      <w:r>
        <w:rPr>
          <w:rFonts w:asciiTheme="minorHAnsi" w:hAnsiTheme="minorHAnsi" w:cstheme="minorHAnsi"/>
          <w:b/>
          <w:bCs/>
          <w:color w:val="4A5E81"/>
          <w:sz w:val="22"/>
          <w:szCs w:val="22"/>
        </w:rPr>
        <w:br/>
      </w:r>
      <w:hyperlink r:id="rId15" w:history="1">
        <w:r w:rsidRPr="001E5664">
          <w:rPr>
            <w:rStyle w:val="Lienhypertexte"/>
            <w:rFonts w:asciiTheme="minorHAnsi" w:hAnsiTheme="minorHAnsi" w:cstheme="minorHAnsi"/>
            <w:b/>
            <w:bCs/>
            <w:color w:val="auto"/>
            <w:sz w:val="22"/>
            <w:szCs w:val="22"/>
          </w:rPr>
          <w:t>Article 1</w:t>
        </w:r>
      </w:hyperlink>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Les fonds mentionnés à l'</w:t>
      </w:r>
      <w:hyperlink r:id="rId16" w:tooltip="Code du travail - art. R6241-28" w:history="1">
        <w:r w:rsidRPr="001E5664">
          <w:rPr>
            <w:rStyle w:val="Lienhypertexte"/>
            <w:rFonts w:asciiTheme="minorHAnsi" w:hAnsiTheme="minorHAnsi" w:cstheme="minorHAnsi"/>
            <w:color w:val="4A5E81"/>
            <w:sz w:val="22"/>
            <w:szCs w:val="22"/>
          </w:rPr>
          <w:t>article R. 6241-28 du code du travail</w:t>
        </w:r>
      </w:hyperlink>
      <w:r w:rsidRPr="001E5664">
        <w:rPr>
          <w:rFonts w:asciiTheme="minorHAnsi" w:hAnsiTheme="minorHAnsi" w:cstheme="minorHAnsi"/>
          <w:color w:val="000000"/>
          <w:sz w:val="22"/>
          <w:szCs w:val="22"/>
        </w:rPr>
        <w:t> sont répartis de la manière suivante :</w:t>
      </w:r>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- 40 % des fonds constituent une enveloppe répartie par régions en fonction du critère défini au 1° de l'</w:t>
      </w:r>
      <w:hyperlink r:id="rId17" w:tooltip="Code du travail - art. R6241-28" w:history="1">
        <w:r w:rsidRPr="001E5664">
          <w:rPr>
            <w:rStyle w:val="Lienhypertexte"/>
            <w:rFonts w:asciiTheme="minorHAnsi" w:hAnsiTheme="minorHAnsi" w:cstheme="minorHAnsi"/>
            <w:color w:val="4A5E81"/>
            <w:sz w:val="22"/>
            <w:szCs w:val="22"/>
          </w:rPr>
          <w:t>article R. 6241-28 du code du travail</w:t>
        </w:r>
      </w:hyperlink>
      <w:r w:rsidRPr="001E5664">
        <w:rPr>
          <w:rFonts w:asciiTheme="minorHAnsi" w:hAnsiTheme="minorHAnsi" w:cstheme="minorHAnsi"/>
          <w:color w:val="000000"/>
          <w:sz w:val="22"/>
          <w:szCs w:val="22"/>
        </w:rPr>
        <w:t> ;</w:t>
      </w:r>
      <w:r w:rsidRPr="001E5664">
        <w:rPr>
          <w:rFonts w:asciiTheme="minorHAnsi" w:hAnsiTheme="minorHAnsi" w:cstheme="minorHAnsi"/>
          <w:color w:val="000000"/>
          <w:sz w:val="22"/>
          <w:szCs w:val="22"/>
        </w:rPr>
        <w:br/>
        <w:t>- 60 % des fonds constituent une enveloppe nationale répartie en fonction du critère défini au 2° du même article et selon les modalités précisées à l'article 2 du présent arrêté.</w:t>
      </w:r>
    </w:p>
    <w:p w:rsidR="001E5664" w:rsidRPr="001E5664" w:rsidRDefault="001E5664" w:rsidP="001E5664">
      <w:pPr>
        <w:pStyle w:val="name-article"/>
        <w:shd w:val="clear" w:color="auto" w:fill="FFFFFF"/>
        <w:spacing w:before="0" w:beforeAutospacing="0" w:after="240" w:afterAutospacing="0"/>
        <w:rPr>
          <w:rFonts w:asciiTheme="minorHAnsi" w:hAnsiTheme="minorHAnsi" w:cstheme="minorHAnsi"/>
          <w:b/>
          <w:bCs/>
          <w:sz w:val="22"/>
          <w:szCs w:val="22"/>
        </w:rPr>
      </w:pPr>
      <w:hyperlink r:id="rId18" w:history="1">
        <w:r w:rsidRPr="001E5664">
          <w:rPr>
            <w:rStyle w:val="Lienhypertexte"/>
            <w:rFonts w:asciiTheme="minorHAnsi" w:hAnsiTheme="minorHAnsi" w:cstheme="minorHAnsi"/>
            <w:b/>
            <w:bCs/>
            <w:color w:val="auto"/>
            <w:sz w:val="22"/>
            <w:szCs w:val="22"/>
          </w:rPr>
          <w:t>Article 2</w:t>
        </w:r>
      </w:hyperlink>
    </w:p>
    <w:p w:rsidR="001E5664" w:rsidRPr="001E5664" w:rsidRDefault="001E5664" w:rsidP="001E5664">
      <w:pPr>
        <w:pStyle w:val="NormalWeb"/>
        <w:shd w:val="clear" w:color="auto" w:fill="FFFFFF"/>
        <w:rPr>
          <w:rFonts w:asciiTheme="minorHAnsi" w:hAnsiTheme="minorHAnsi" w:cstheme="minorHAnsi"/>
          <w:color w:val="000000"/>
          <w:sz w:val="22"/>
          <w:szCs w:val="22"/>
        </w:rPr>
      </w:pPr>
      <w:r w:rsidRPr="001E5664">
        <w:rPr>
          <w:rFonts w:asciiTheme="minorHAnsi" w:hAnsiTheme="minorHAnsi" w:cstheme="minorHAnsi"/>
          <w:color w:val="000000"/>
          <w:sz w:val="22"/>
          <w:szCs w:val="22"/>
        </w:rPr>
        <w:t>L'enveloppe correspondant au critère mentionné au 2° de l'</w:t>
      </w:r>
      <w:hyperlink r:id="rId19" w:tooltip="Code du travail - art. R6241-28" w:history="1">
        <w:r w:rsidRPr="001E5664">
          <w:rPr>
            <w:rStyle w:val="Lienhypertexte"/>
            <w:rFonts w:asciiTheme="minorHAnsi" w:hAnsiTheme="minorHAnsi" w:cstheme="minorHAnsi"/>
            <w:color w:val="4A5E81"/>
            <w:sz w:val="22"/>
            <w:szCs w:val="22"/>
          </w:rPr>
          <w:t>article R. 6241-28 du code du travail</w:t>
        </w:r>
      </w:hyperlink>
      <w:r w:rsidRPr="001E5664">
        <w:rPr>
          <w:rFonts w:asciiTheme="minorHAnsi" w:hAnsiTheme="minorHAnsi" w:cstheme="minorHAnsi"/>
          <w:color w:val="000000"/>
          <w:sz w:val="22"/>
          <w:szCs w:val="22"/>
        </w:rPr>
        <w:t> est répartie selon la nature des formations, au profit des formations menant aux métiers qui connaissent les besoins les plus importants de recrutement de leur région en raison d'un manque de personnes formées. Ces métiers sont indiqués en annexe. La correspondance entre ces métiers et les formations qui y conduisent est effectuée en fonction du diplôme enregistré au répertoire national des certifications professionnelles (RNCP) auquel ces formations préparent.</w:t>
      </w:r>
    </w:p>
    <w:p w:rsidR="001E5664" w:rsidRDefault="001E5664">
      <w:pPr>
        <w:spacing w:after="160" w:line="259" w:lineRule="auto"/>
      </w:pPr>
    </w:p>
    <w:sectPr w:rsidR="001E566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24" w:rsidRDefault="004E4224" w:rsidP="00943B28">
      <w:pPr>
        <w:spacing w:after="0" w:line="240" w:lineRule="auto"/>
      </w:pPr>
      <w:r>
        <w:separator/>
      </w:r>
    </w:p>
  </w:endnote>
  <w:endnote w:type="continuationSeparator" w:id="0">
    <w:p w:rsidR="004E4224" w:rsidRDefault="004E422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CF5F72">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24" w:rsidRDefault="004E4224" w:rsidP="00943B28">
      <w:pPr>
        <w:spacing w:after="0" w:line="240" w:lineRule="auto"/>
      </w:pPr>
      <w:r>
        <w:separator/>
      </w:r>
    </w:p>
  </w:footnote>
  <w:footnote w:type="continuationSeparator" w:id="0">
    <w:p w:rsidR="004E4224" w:rsidRDefault="004E422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717D"/>
    <w:rsid w:val="007323CC"/>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C1E8"/>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jorf/article_jo/JORFARTI000050659805" TargetMode="External"/><Relationship Id="rId18" Type="http://schemas.openxmlformats.org/officeDocument/2006/relationships/hyperlink" Target="https://www.legifrance.gouv.fr/jorf/article_jo/JORFARTI0000506598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jorf/article_jo/JORFARTI000050659804" TargetMode="External"/><Relationship Id="rId17" Type="http://schemas.openxmlformats.org/officeDocument/2006/relationships/hyperlink" Target="https://www.legifrance.gouv.fr/affichCodeArticle.do?cidTexte=LEGITEXT000006072050&amp;idArticle=LEGIARTI000029414405&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29414405&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article_jo/JORFARTI000050659803" TargetMode="External"/><Relationship Id="rId5" Type="http://schemas.openxmlformats.org/officeDocument/2006/relationships/webSettings" Target="webSettings.xml"/><Relationship Id="rId15" Type="http://schemas.openxmlformats.org/officeDocument/2006/relationships/hyperlink" Target="https://www.legifrance.gouv.fr/jorf/article_jo/JORFARTI000050659812" TargetMode="External"/><Relationship Id="rId10" Type="http://schemas.openxmlformats.org/officeDocument/2006/relationships/hyperlink" Target="https://www.legifrance.gouv.fr/jorf/id/JORFTEXT000050659797" TargetMode="External"/><Relationship Id="rId19" Type="http://schemas.openxmlformats.org/officeDocument/2006/relationships/hyperlink" Target="https://www.legifrance.gouv.fr/affichCodeArticle.do?cidTexte=LEGITEXT000006072050&amp;idArticle=LEGIARTI000029414405&amp;dateTexte=&amp;categorieLien=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id/JORFTEXT000050659807"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CD69-2A06-4974-9F88-1D5CB18A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414</cp:revision>
  <dcterms:created xsi:type="dcterms:W3CDTF">2021-03-23T13:03:00Z</dcterms:created>
  <dcterms:modified xsi:type="dcterms:W3CDTF">2024-11-26T09:02:00Z</dcterms:modified>
</cp:coreProperties>
</file>