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85CAF" w14:textId="060799DD" w:rsidR="00F06BEA" w:rsidRPr="00123E5D" w:rsidRDefault="00A60309" w:rsidP="003151B3">
      <w:pPr>
        <w:jc w:val="center"/>
        <w:rPr>
          <w:b/>
          <w:iCs/>
          <w:color w:val="00A9A0"/>
          <w:sz w:val="28"/>
        </w:rPr>
      </w:pPr>
      <w:r w:rsidRPr="00DA6E53">
        <w:rPr>
          <w:b/>
          <w:iCs/>
          <w:color w:val="00A9A0"/>
          <w:sz w:val="36"/>
          <w:szCs w:val="36"/>
        </w:rPr>
        <w:t>Le p</w:t>
      </w:r>
      <w:r w:rsidR="00154F40" w:rsidRPr="00DA6E53">
        <w:rPr>
          <w:b/>
          <w:iCs/>
          <w:color w:val="00A9A0"/>
          <w:sz w:val="36"/>
          <w:szCs w:val="36"/>
        </w:rPr>
        <w:t>oids économique du sport</w:t>
      </w:r>
    </w:p>
    <w:p w14:paraId="42789824" w14:textId="2B42D50C" w:rsidR="00443E88" w:rsidRPr="00DA6E53" w:rsidRDefault="000A2A46" w:rsidP="003151B3">
      <w:pPr>
        <w:jc w:val="center"/>
        <w:rPr>
          <w:b/>
          <w:iCs/>
          <w:color w:val="00A9A0"/>
          <w:sz w:val="32"/>
          <w:szCs w:val="32"/>
        </w:rPr>
      </w:pPr>
      <w:r w:rsidRPr="00DA6E53">
        <w:rPr>
          <w:b/>
          <w:iCs/>
          <w:color w:val="00A9A0"/>
          <w:sz w:val="32"/>
          <w:szCs w:val="32"/>
        </w:rPr>
        <w:t>Méthodologie</w:t>
      </w:r>
      <w:r w:rsidR="00980B87" w:rsidRPr="00DA6E53">
        <w:rPr>
          <w:b/>
          <w:iCs/>
          <w:color w:val="00A9A0"/>
          <w:sz w:val="32"/>
          <w:szCs w:val="32"/>
        </w:rPr>
        <w:t>. Édition 2024</w:t>
      </w:r>
    </w:p>
    <w:p w14:paraId="27716C81" w14:textId="77777777" w:rsidR="000A2A46" w:rsidRPr="00123E5D" w:rsidRDefault="000A2A46" w:rsidP="003151B3">
      <w:pPr>
        <w:jc w:val="center"/>
        <w:rPr>
          <w:b/>
          <w:iCs/>
          <w:color w:val="000000"/>
          <w:sz w:val="28"/>
          <w:highlight w:val="yellow"/>
        </w:rPr>
      </w:pPr>
    </w:p>
    <w:p w14:paraId="02CFEB96" w14:textId="75BC2BC8" w:rsidR="001802FC" w:rsidRPr="00123E5D" w:rsidRDefault="00A62E53" w:rsidP="00A62E53">
      <w:pPr>
        <w:rPr>
          <w:rFonts w:cstheme="minorHAnsi"/>
          <w:szCs w:val="20"/>
        </w:rPr>
      </w:pPr>
      <w:r w:rsidRPr="00DA6E53">
        <w:t>L</w:t>
      </w:r>
      <w:r w:rsidR="004811B0" w:rsidRPr="00DA6E53">
        <w:t>a fiche repère sur l</w:t>
      </w:r>
      <w:r w:rsidRPr="00DA6E53">
        <w:t xml:space="preserve">e </w:t>
      </w:r>
      <w:r w:rsidR="005E710A" w:rsidRPr="00DA6E53">
        <w:t>p</w:t>
      </w:r>
      <w:r w:rsidRPr="00DA6E53">
        <w:t>oids économique du sport vise une description la plus pertinente et la plus fiable possible des flux économiques liés à la pratique d’une activité sportive.</w:t>
      </w:r>
      <w:r w:rsidR="001802FC" w:rsidRPr="00DA6E53">
        <w:t xml:space="preserve"> Des changements de méthodologie sont opérés régulièrement pour tenir compte de l’évolution de l’économie du sport, mais aussi des sources statistiques (enquêtes ou données administratives notamment) qui permettent de décrire ce champ. Les séries de données</w:t>
      </w:r>
      <w:r w:rsidR="001802FC" w:rsidRPr="00123E5D">
        <w:rPr>
          <w:rFonts w:cstheme="minorHAnsi"/>
          <w:szCs w:val="20"/>
        </w:rPr>
        <w:t xml:space="preserve"> sont alors révisées dans leur intégralité.</w:t>
      </w:r>
    </w:p>
    <w:p w14:paraId="3C5A0144" w14:textId="2E32220C" w:rsidR="00A62E53" w:rsidRPr="00123E5D" w:rsidRDefault="0036013F" w:rsidP="0017573E">
      <w:pPr>
        <w:rPr>
          <w:rFonts w:cstheme="minorHAnsi"/>
          <w:szCs w:val="20"/>
          <w:highlight w:val="yellow"/>
        </w:rPr>
      </w:pPr>
      <w:r w:rsidRPr="00123E5D">
        <w:rPr>
          <w:rFonts w:cstheme="minorHAnsi"/>
          <w:szCs w:val="20"/>
        </w:rPr>
        <w:t>En 2019</w:t>
      </w:r>
      <w:r w:rsidR="001802FC" w:rsidRPr="00123E5D">
        <w:rPr>
          <w:rFonts w:cstheme="minorHAnsi"/>
          <w:szCs w:val="20"/>
        </w:rPr>
        <w:t>, le service statistique ministériel a refondu l’estimation de certains postes des comptes en tenant compte de l’évolution des sources stati</w:t>
      </w:r>
      <w:r w:rsidR="0047356F" w:rsidRPr="00123E5D">
        <w:rPr>
          <w:rFonts w:cstheme="minorHAnsi"/>
          <w:szCs w:val="20"/>
        </w:rPr>
        <w:t>stiques mobilisables. Cette nécessaire refont</w:t>
      </w:r>
      <w:r w:rsidR="0017573E" w:rsidRPr="00123E5D">
        <w:rPr>
          <w:rFonts w:cstheme="minorHAnsi"/>
          <w:szCs w:val="20"/>
        </w:rPr>
        <w:t>e</w:t>
      </w:r>
      <w:r w:rsidR="0047356F" w:rsidRPr="00123E5D">
        <w:rPr>
          <w:rFonts w:cstheme="minorHAnsi"/>
          <w:szCs w:val="20"/>
        </w:rPr>
        <w:t xml:space="preserve"> méthodol</w:t>
      </w:r>
      <w:r w:rsidR="0017573E" w:rsidRPr="00123E5D">
        <w:rPr>
          <w:rFonts w:cstheme="minorHAnsi"/>
          <w:szCs w:val="20"/>
        </w:rPr>
        <w:t xml:space="preserve">ogique, réalisée avec l’aide de la Direction </w:t>
      </w:r>
      <w:r w:rsidR="005E710A" w:rsidRPr="00123E5D">
        <w:rPr>
          <w:rFonts w:cstheme="minorHAnsi"/>
          <w:szCs w:val="20"/>
        </w:rPr>
        <w:t xml:space="preserve">générale </w:t>
      </w:r>
      <w:r w:rsidR="0017573E" w:rsidRPr="00123E5D">
        <w:rPr>
          <w:rFonts w:cstheme="minorHAnsi"/>
          <w:szCs w:val="20"/>
        </w:rPr>
        <w:t xml:space="preserve">des </w:t>
      </w:r>
      <w:r w:rsidR="005E710A" w:rsidRPr="00123E5D">
        <w:rPr>
          <w:rFonts w:cstheme="minorHAnsi"/>
          <w:szCs w:val="20"/>
        </w:rPr>
        <w:t>finances p</w:t>
      </w:r>
      <w:r w:rsidR="0017573E" w:rsidRPr="00123E5D">
        <w:rPr>
          <w:rFonts w:cstheme="minorHAnsi"/>
          <w:szCs w:val="20"/>
        </w:rPr>
        <w:t>ubliques (DGF</w:t>
      </w:r>
      <w:r w:rsidR="00AE2C50" w:rsidRPr="00123E5D">
        <w:rPr>
          <w:rFonts w:cstheme="minorHAnsi"/>
          <w:szCs w:val="20"/>
        </w:rPr>
        <w:t>I</w:t>
      </w:r>
      <w:r w:rsidR="0017573E" w:rsidRPr="00123E5D">
        <w:rPr>
          <w:rFonts w:cstheme="minorHAnsi"/>
          <w:szCs w:val="20"/>
        </w:rPr>
        <w:t>P), a porté sur les</w:t>
      </w:r>
      <w:r w:rsidR="001802FC" w:rsidRPr="00123E5D">
        <w:rPr>
          <w:rFonts w:cstheme="minorHAnsi"/>
          <w:szCs w:val="20"/>
        </w:rPr>
        <w:t xml:space="preserve"> dépenses des ad</w:t>
      </w:r>
      <w:r w:rsidR="0017573E" w:rsidRPr="00123E5D">
        <w:rPr>
          <w:rFonts w:cstheme="minorHAnsi"/>
          <w:szCs w:val="20"/>
        </w:rPr>
        <w:t xml:space="preserve">ministrations publiques locales. </w:t>
      </w:r>
      <w:r w:rsidR="000A33F2" w:rsidRPr="00123E5D">
        <w:rPr>
          <w:rFonts w:cstheme="minorHAnsi"/>
          <w:szCs w:val="20"/>
        </w:rPr>
        <w:t xml:space="preserve">De plus, </w:t>
      </w:r>
      <w:r w:rsidR="00154F40" w:rsidRPr="00123E5D">
        <w:rPr>
          <w:rFonts w:cstheme="minorHAnsi"/>
          <w:szCs w:val="20"/>
        </w:rPr>
        <w:t>à l’occasion de l’estimation</w:t>
      </w:r>
      <w:r w:rsidR="00A4728F" w:rsidRPr="00123E5D">
        <w:rPr>
          <w:rFonts w:cstheme="minorHAnsi"/>
          <w:szCs w:val="20"/>
        </w:rPr>
        <w:t xml:space="preserve"> </w:t>
      </w:r>
      <w:r w:rsidR="00967AD0" w:rsidRPr="00123E5D">
        <w:rPr>
          <w:rFonts w:cstheme="minorHAnsi"/>
          <w:szCs w:val="20"/>
        </w:rPr>
        <w:t xml:space="preserve">du </w:t>
      </w:r>
      <w:r w:rsidR="00154F40" w:rsidRPr="00123E5D">
        <w:rPr>
          <w:rFonts w:cstheme="minorHAnsi"/>
          <w:szCs w:val="20"/>
        </w:rPr>
        <w:t>p</w:t>
      </w:r>
      <w:r w:rsidR="00A62E53" w:rsidRPr="00123E5D">
        <w:rPr>
          <w:rFonts w:cstheme="minorHAnsi"/>
          <w:szCs w:val="20"/>
        </w:rPr>
        <w:t xml:space="preserve">oids économique du sport </w:t>
      </w:r>
      <w:r w:rsidR="005441DC" w:rsidRPr="00123E5D">
        <w:rPr>
          <w:rFonts w:cstheme="minorHAnsi"/>
          <w:szCs w:val="20"/>
        </w:rPr>
        <w:t>portant sur l’</w:t>
      </w:r>
      <w:r w:rsidR="00154F40" w:rsidRPr="00123E5D">
        <w:rPr>
          <w:rFonts w:cstheme="minorHAnsi"/>
          <w:szCs w:val="20"/>
        </w:rPr>
        <w:t>année 2022, le changement de base de la comptabilité nationale (passage en base 2020) a été intégré</w:t>
      </w:r>
      <w:r w:rsidR="000067DA" w:rsidRPr="00123E5D">
        <w:rPr>
          <w:rFonts w:cstheme="minorHAnsi"/>
          <w:szCs w:val="20"/>
        </w:rPr>
        <w:t>.</w:t>
      </w:r>
    </w:p>
    <w:p w14:paraId="71CE97E4" w14:textId="5962C107" w:rsidR="00784503" w:rsidRPr="00123E5D" w:rsidRDefault="00A62E53" w:rsidP="00784503">
      <w:pPr>
        <w:rPr>
          <w:rFonts w:cstheme="minorHAnsi"/>
          <w:szCs w:val="20"/>
        </w:rPr>
      </w:pPr>
      <w:r w:rsidRPr="00123E5D">
        <w:rPr>
          <w:rFonts w:cstheme="minorHAnsi"/>
          <w:szCs w:val="20"/>
        </w:rPr>
        <w:t xml:space="preserve">Ce document </w:t>
      </w:r>
      <w:r w:rsidR="00784503" w:rsidRPr="00123E5D">
        <w:rPr>
          <w:rFonts w:cstheme="minorHAnsi"/>
          <w:szCs w:val="20"/>
        </w:rPr>
        <w:t xml:space="preserve">a pour objet de </w:t>
      </w:r>
      <w:r w:rsidR="00AE2C50" w:rsidRPr="00123E5D">
        <w:rPr>
          <w:rFonts w:cstheme="minorHAnsi"/>
          <w:szCs w:val="20"/>
        </w:rPr>
        <w:t xml:space="preserve">présenter </w:t>
      </w:r>
      <w:r w:rsidR="00784503" w:rsidRPr="00123E5D">
        <w:rPr>
          <w:rFonts w:cstheme="minorHAnsi"/>
          <w:szCs w:val="20"/>
        </w:rPr>
        <w:t xml:space="preserve">les lignes directrices de la méthode utilisée </w:t>
      </w:r>
      <w:r w:rsidR="00154F40" w:rsidRPr="00123E5D">
        <w:rPr>
          <w:rFonts w:cstheme="minorHAnsi"/>
          <w:szCs w:val="20"/>
        </w:rPr>
        <w:t>pour</w:t>
      </w:r>
      <w:r w:rsidR="00784503" w:rsidRPr="00123E5D">
        <w:rPr>
          <w:rFonts w:cstheme="minorHAnsi"/>
          <w:szCs w:val="20"/>
        </w:rPr>
        <w:t xml:space="preserve"> l’évaluation du poids économique du sport et de préciser quelles sont les principales sources utilisées à cet effet. Elle actualise ainsi les derniers éléments méthodologiques </w:t>
      </w:r>
      <w:r w:rsidR="00A4728F" w:rsidRPr="00123E5D">
        <w:rPr>
          <w:rFonts w:cstheme="minorHAnsi"/>
          <w:szCs w:val="20"/>
        </w:rPr>
        <w:t xml:space="preserve">détaillés </w:t>
      </w:r>
      <w:r w:rsidR="00784503" w:rsidRPr="00123E5D">
        <w:rPr>
          <w:rFonts w:cstheme="minorHAnsi"/>
          <w:szCs w:val="20"/>
        </w:rPr>
        <w:t>publiés en 2018</w:t>
      </w:r>
      <w:r w:rsidR="00784503" w:rsidRPr="00123E5D">
        <w:rPr>
          <w:rStyle w:val="Appelnotedebasdep"/>
          <w:rFonts w:cstheme="minorHAnsi"/>
          <w:szCs w:val="20"/>
        </w:rPr>
        <w:footnoteReference w:id="2"/>
      </w:r>
      <w:r w:rsidR="00784503" w:rsidRPr="00123E5D">
        <w:rPr>
          <w:rFonts w:cstheme="minorHAnsi"/>
          <w:szCs w:val="20"/>
        </w:rPr>
        <w:t>.</w:t>
      </w:r>
    </w:p>
    <w:p w14:paraId="02CF8EDA" w14:textId="300DBD02" w:rsidR="00DD0B66" w:rsidRPr="00DA6E53" w:rsidRDefault="005C64FA" w:rsidP="00DA6E53">
      <w:pPr>
        <w:pBdr>
          <w:top w:val="single" w:sz="4" w:space="6" w:color="auto"/>
          <w:left w:val="single" w:sz="4" w:space="6" w:color="auto"/>
          <w:bottom w:val="single" w:sz="4" w:space="6" w:color="auto"/>
          <w:right w:val="single" w:sz="4" w:space="6" w:color="auto"/>
        </w:pBdr>
        <w:shd w:val="clear" w:color="auto" w:fill="D9D9D9" w:themeFill="background1" w:themeFillShade="D9"/>
        <w:rPr>
          <w:i/>
          <w:sz w:val="18"/>
          <w:szCs w:val="18"/>
          <w:u w:val="single"/>
        </w:rPr>
      </w:pPr>
      <w:r w:rsidRPr="00DA6E53">
        <w:rPr>
          <w:i/>
          <w:sz w:val="18"/>
          <w:szCs w:val="18"/>
          <w:u w:val="single"/>
        </w:rPr>
        <w:t>Principale</w:t>
      </w:r>
      <w:r w:rsidR="0041300A" w:rsidRPr="00DA6E53">
        <w:rPr>
          <w:i/>
          <w:sz w:val="18"/>
          <w:szCs w:val="18"/>
          <w:u w:val="single"/>
        </w:rPr>
        <w:t>s</w:t>
      </w:r>
      <w:r w:rsidR="00DD0B66" w:rsidRPr="00DA6E53">
        <w:rPr>
          <w:i/>
          <w:sz w:val="18"/>
          <w:szCs w:val="18"/>
          <w:u w:val="single"/>
        </w:rPr>
        <w:t xml:space="preserve"> révisions </w:t>
      </w:r>
      <w:r w:rsidR="0041300A" w:rsidRPr="00DA6E53">
        <w:rPr>
          <w:i/>
          <w:sz w:val="18"/>
          <w:szCs w:val="18"/>
          <w:u w:val="single"/>
        </w:rPr>
        <w:t xml:space="preserve">et corrections </w:t>
      </w:r>
      <w:r w:rsidR="00DD0B66" w:rsidRPr="00DA6E53">
        <w:rPr>
          <w:i/>
          <w:sz w:val="18"/>
          <w:szCs w:val="18"/>
          <w:u w:val="single"/>
        </w:rPr>
        <w:t xml:space="preserve">réalisées pour </w:t>
      </w:r>
      <w:r w:rsidR="002E75EB" w:rsidRPr="00DA6E53">
        <w:rPr>
          <w:i/>
          <w:sz w:val="18"/>
          <w:szCs w:val="18"/>
          <w:u w:val="single"/>
        </w:rPr>
        <w:t>l</w:t>
      </w:r>
      <w:r w:rsidR="00DD0B66" w:rsidRPr="00DA6E53">
        <w:rPr>
          <w:i/>
          <w:sz w:val="18"/>
          <w:szCs w:val="18"/>
          <w:u w:val="single"/>
        </w:rPr>
        <w:t xml:space="preserve">’édition </w:t>
      </w:r>
      <w:r w:rsidR="00736867" w:rsidRPr="00DA6E53">
        <w:rPr>
          <w:i/>
          <w:sz w:val="18"/>
          <w:szCs w:val="18"/>
          <w:u w:val="single"/>
        </w:rPr>
        <w:t>202</w:t>
      </w:r>
      <w:r w:rsidR="00014580" w:rsidRPr="00DA6E53">
        <w:rPr>
          <w:i/>
          <w:sz w:val="18"/>
          <w:szCs w:val="18"/>
          <w:u w:val="single"/>
        </w:rPr>
        <w:t>4</w:t>
      </w:r>
      <w:r w:rsidR="00BF6676">
        <w:rPr>
          <w:i/>
          <w:sz w:val="18"/>
          <w:szCs w:val="18"/>
          <w:u w:val="single"/>
        </w:rPr>
        <w:t xml:space="preserve"> portant sur les données 2022</w:t>
      </w:r>
    </w:p>
    <w:p w14:paraId="507669EE" w14:textId="7292D96B" w:rsidR="00014580" w:rsidRPr="00DA6E53" w:rsidRDefault="00014580" w:rsidP="00DA6E53">
      <w:pPr>
        <w:pStyle w:val="Paragraphedeliste"/>
        <w:numPr>
          <w:ilvl w:val="0"/>
          <w:numId w:val="3"/>
        </w:numPr>
        <w:pBdr>
          <w:top w:val="single" w:sz="4" w:space="6" w:color="auto"/>
          <w:left w:val="single" w:sz="4" w:space="6" w:color="auto"/>
          <w:bottom w:val="single" w:sz="4" w:space="6" w:color="auto"/>
          <w:right w:val="single" w:sz="4" w:space="6" w:color="auto"/>
        </w:pBdr>
        <w:shd w:val="clear" w:color="auto" w:fill="D9D9D9" w:themeFill="background1" w:themeFillShade="D9"/>
        <w:spacing w:after="120" w:line="240" w:lineRule="auto"/>
        <w:ind w:left="357" w:hanging="357"/>
        <w:contextualSpacing w:val="0"/>
        <w:rPr>
          <w:rFonts w:ascii="Raleway" w:hAnsi="Raleway"/>
          <w:sz w:val="18"/>
          <w:szCs w:val="18"/>
        </w:rPr>
      </w:pPr>
      <w:r w:rsidRPr="00DA6E53">
        <w:rPr>
          <w:rFonts w:ascii="Raleway" w:hAnsi="Raleway"/>
          <w:sz w:val="18"/>
          <w:szCs w:val="18"/>
        </w:rPr>
        <w:t>L'édition 2024 du poids économique du sport intègre le passage en base 2020 de la comptabilité nationale pour la dépense sportive des ménages. La révision n'affecte que faiblement les chiffres précédemment publiés et ne change pas les commentaires et les constats des fiches correspondantes. Toutefois</w:t>
      </w:r>
      <w:r w:rsidR="00624473">
        <w:rPr>
          <w:rFonts w:ascii="Raleway" w:hAnsi="Raleway"/>
          <w:sz w:val="18"/>
          <w:szCs w:val="18"/>
        </w:rPr>
        <w:t>,</w:t>
      </w:r>
      <w:r w:rsidRPr="00DA6E53">
        <w:rPr>
          <w:rFonts w:ascii="Raleway" w:hAnsi="Raleway"/>
          <w:sz w:val="18"/>
          <w:szCs w:val="18"/>
        </w:rPr>
        <w:t xml:space="preserve"> certains postes ont été réévalué</w:t>
      </w:r>
      <w:r w:rsidR="00980B87" w:rsidRPr="00DA6E53">
        <w:rPr>
          <w:rFonts w:ascii="Raleway" w:hAnsi="Raleway"/>
          <w:sz w:val="18"/>
          <w:szCs w:val="18"/>
        </w:rPr>
        <w:t>s</w:t>
      </w:r>
      <w:r w:rsidRPr="00DA6E53">
        <w:rPr>
          <w:rFonts w:ascii="Raleway" w:hAnsi="Raleway"/>
          <w:sz w:val="18"/>
          <w:szCs w:val="18"/>
        </w:rPr>
        <w:t xml:space="preserve"> à la hausse par l'</w:t>
      </w:r>
      <w:r w:rsidR="00624473">
        <w:rPr>
          <w:rFonts w:ascii="Raleway" w:hAnsi="Raleway"/>
          <w:sz w:val="18"/>
          <w:szCs w:val="18"/>
        </w:rPr>
        <w:t>INSEE</w:t>
      </w:r>
      <w:r w:rsidRPr="00DA6E53">
        <w:rPr>
          <w:rFonts w:ascii="Raleway" w:hAnsi="Raleway"/>
          <w:sz w:val="18"/>
          <w:szCs w:val="18"/>
        </w:rPr>
        <w:t xml:space="preserve"> au moment du passage en base 2020, c'est le cas des bicyclettes (voir ci-après en page 3).</w:t>
      </w:r>
    </w:p>
    <w:p w14:paraId="04A173FF" w14:textId="0A01BE67" w:rsidR="00DD0B66" w:rsidRPr="00DA6E53" w:rsidRDefault="00DD0B66" w:rsidP="00DA6E53">
      <w:pPr>
        <w:pStyle w:val="Paragraphedeliste"/>
        <w:numPr>
          <w:ilvl w:val="0"/>
          <w:numId w:val="3"/>
        </w:numPr>
        <w:pBdr>
          <w:top w:val="single" w:sz="4" w:space="6" w:color="auto"/>
          <w:left w:val="single" w:sz="4" w:space="6" w:color="auto"/>
          <w:bottom w:val="single" w:sz="4" w:space="6" w:color="auto"/>
          <w:right w:val="single" w:sz="4" w:space="6" w:color="auto"/>
        </w:pBdr>
        <w:shd w:val="clear" w:color="auto" w:fill="D9D9D9" w:themeFill="background1" w:themeFillShade="D9"/>
        <w:spacing w:after="0" w:line="240" w:lineRule="auto"/>
        <w:rPr>
          <w:rFonts w:ascii="Raleway" w:hAnsi="Raleway"/>
          <w:sz w:val="18"/>
          <w:szCs w:val="18"/>
        </w:rPr>
      </w:pPr>
      <w:r w:rsidRPr="00DA6E53">
        <w:rPr>
          <w:rFonts w:ascii="Raleway" w:hAnsi="Raleway"/>
          <w:sz w:val="18"/>
          <w:szCs w:val="18"/>
        </w:rPr>
        <w:t>L</w:t>
      </w:r>
      <w:r w:rsidR="00736867" w:rsidRPr="00DA6E53">
        <w:rPr>
          <w:rFonts w:ascii="Raleway" w:hAnsi="Raleway"/>
          <w:sz w:val="18"/>
          <w:szCs w:val="18"/>
        </w:rPr>
        <w:t>a composante représentant les dépenses du ministère charg</w:t>
      </w:r>
      <w:r w:rsidR="00624473">
        <w:rPr>
          <w:rFonts w:ascii="Raleway" w:hAnsi="Raleway"/>
          <w:sz w:val="18"/>
          <w:szCs w:val="18"/>
        </w:rPr>
        <w:t>é</w:t>
      </w:r>
      <w:r w:rsidR="00736867" w:rsidRPr="00DA6E53">
        <w:rPr>
          <w:rFonts w:ascii="Raleway" w:hAnsi="Raleway"/>
          <w:sz w:val="18"/>
          <w:szCs w:val="18"/>
        </w:rPr>
        <w:t xml:space="preserve"> des </w:t>
      </w:r>
      <w:r w:rsidR="00C03384" w:rsidRPr="00DA6E53">
        <w:rPr>
          <w:rFonts w:ascii="Raleway" w:hAnsi="Raleway"/>
          <w:sz w:val="18"/>
          <w:szCs w:val="18"/>
        </w:rPr>
        <w:t>s</w:t>
      </w:r>
      <w:r w:rsidR="00736867" w:rsidRPr="00DA6E53">
        <w:rPr>
          <w:rFonts w:ascii="Raleway" w:hAnsi="Raleway"/>
          <w:sz w:val="18"/>
          <w:szCs w:val="18"/>
        </w:rPr>
        <w:t>ports au sein des dépenses sportives des administrations publiques</w:t>
      </w:r>
      <w:r w:rsidR="005C64FA" w:rsidRPr="00DA6E53">
        <w:rPr>
          <w:rFonts w:ascii="Raleway" w:hAnsi="Raleway"/>
          <w:sz w:val="18"/>
          <w:szCs w:val="18"/>
        </w:rPr>
        <w:t xml:space="preserve"> est légèrement sur</w:t>
      </w:r>
      <w:r w:rsidR="00736867" w:rsidRPr="00DA6E53">
        <w:rPr>
          <w:rFonts w:ascii="Raleway" w:hAnsi="Raleway"/>
          <w:sz w:val="18"/>
          <w:szCs w:val="18"/>
        </w:rPr>
        <w:t>estimée</w:t>
      </w:r>
      <w:r w:rsidR="00014580" w:rsidRPr="00DA6E53">
        <w:rPr>
          <w:rFonts w:ascii="Raleway" w:hAnsi="Raleway"/>
          <w:sz w:val="18"/>
          <w:szCs w:val="18"/>
        </w:rPr>
        <w:t xml:space="preserve"> depuis l’édition 2023</w:t>
      </w:r>
      <w:r w:rsidR="00736867" w:rsidRPr="00DA6E53">
        <w:rPr>
          <w:rFonts w:ascii="Raleway" w:hAnsi="Raleway"/>
          <w:sz w:val="18"/>
          <w:szCs w:val="18"/>
        </w:rPr>
        <w:t xml:space="preserve"> par rapport aux années précédentes sans que cela n’affecte </w:t>
      </w:r>
      <w:r w:rsidR="009B3026" w:rsidRPr="00DA6E53">
        <w:rPr>
          <w:rFonts w:ascii="Raleway" w:hAnsi="Raleway"/>
          <w:sz w:val="18"/>
          <w:szCs w:val="18"/>
        </w:rPr>
        <w:t xml:space="preserve">significativement </w:t>
      </w:r>
      <w:r w:rsidR="00736867" w:rsidRPr="00DA6E53">
        <w:rPr>
          <w:rFonts w:ascii="Raleway" w:hAnsi="Raleway"/>
          <w:sz w:val="18"/>
          <w:szCs w:val="18"/>
        </w:rPr>
        <w:t>l’ordre de grandeur de la dépense. En effet</w:t>
      </w:r>
      <w:r w:rsidR="005C64FA" w:rsidRPr="00DA6E53">
        <w:rPr>
          <w:rFonts w:ascii="Raleway" w:hAnsi="Raleway"/>
          <w:sz w:val="18"/>
          <w:szCs w:val="18"/>
        </w:rPr>
        <w:t xml:space="preserve">, à l’occasion du rattachement du ministère chargé des sports au ministère de l'éducation nationale et de la jeunesse, il n’est plus possible d’isoler pour </w:t>
      </w:r>
      <w:r w:rsidR="00425562" w:rsidRPr="00DA6E53">
        <w:rPr>
          <w:rFonts w:ascii="Raleway" w:hAnsi="Raleway"/>
          <w:sz w:val="18"/>
          <w:szCs w:val="18"/>
        </w:rPr>
        <w:t>certains</w:t>
      </w:r>
      <w:r w:rsidR="005C64FA" w:rsidRPr="00DA6E53">
        <w:rPr>
          <w:rFonts w:ascii="Raleway" w:hAnsi="Raleway"/>
          <w:sz w:val="18"/>
          <w:szCs w:val="18"/>
        </w:rPr>
        <w:t xml:space="preserve"> crédits (</w:t>
      </w:r>
      <w:r w:rsidR="00425562" w:rsidRPr="00DA6E53">
        <w:rPr>
          <w:rFonts w:ascii="Raleway" w:hAnsi="Raleway"/>
          <w:sz w:val="18"/>
          <w:szCs w:val="18"/>
        </w:rPr>
        <w:t>les crédits du programme 124</w:t>
      </w:r>
      <w:r w:rsidR="005C64FA" w:rsidRPr="00DA6E53">
        <w:rPr>
          <w:rFonts w:ascii="Raleway" w:hAnsi="Raleway"/>
          <w:sz w:val="18"/>
          <w:szCs w:val="18"/>
        </w:rPr>
        <w:t xml:space="preserve"> transférés au programme 214) ceux</w:t>
      </w:r>
      <w:r w:rsidR="009B3026" w:rsidRPr="00DA6E53">
        <w:rPr>
          <w:rFonts w:ascii="Raleway" w:hAnsi="Raleway"/>
          <w:sz w:val="18"/>
          <w:szCs w:val="18"/>
        </w:rPr>
        <w:t xml:space="preserve"> </w:t>
      </w:r>
      <w:r w:rsidR="00425562" w:rsidRPr="00DA6E53">
        <w:rPr>
          <w:rFonts w:ascii="Raleway" w:hAnsi="Raleway"/>
          <w:sz w:val="18"/>
          <w:szCs w:val="18"/>
        </w:rPr>
        <w:t>alloués</w:t>
      </w:r>
      <w:r w:rsidR="00736867" w:rsidRPr="00DA6E53">
        <w:rPr>
          <w:rFonts w:ascii="Raleway" w:hAnsi="Raleway"/>
          <w:sz w:val="18"/>
          <w:szCs w:val="18"/>
        </w:rPr>
        <w:t xml:space="preserve"> </w:t>
      </w:r>
      <w:r w:rsidR="005C64FA" w:rsidRPr="00DA6E53">
        <w:rPr>
          <w:rFonts w:ascii="Raleway" w:hAnsi="Raleway"/>
          <w:sz w:val="18"/>
          <w:szCs w:val="18"/>
        </w:rPr>
        <w:t xml:space="preserve">spécifiquement </w:t>
      </w:r>
      <w:r w:rsidR="00736867" w:rsidRPr="00DA6E53">
        <w:rPr>
          <w:rFonts w:ascii="Raleway" w:hAnsi="Raleway"/>
          <w:sz w:val="18"/>
          <w:szCs w:val="18"/>
        </w:rPr>
        <w:t>à la politique du sport</w:t>
      </w:r>
      <w:r w:rsidR="005C64FA" w:rsidRPr="00DA6E53">
        <w:rPr>
          <w:rFonts w:ascii="Raleway" w:hAnsi="Raleway"/>
          <w:sz w:val="18"/>
          <w:szCs w:val="18"/>
        </w:rPr>
        <w:t>.</w:t>
      </w:r>
    </w:p>
    <w:p w14:paraId="40EBC079" w14:textId="77777777" w:rsidR="001802FC" w:rsidRPr="00123E5D" w:rsidRDefault="001802FC" w:rsidP="00A62E53">
      <w:pPr>
        <w:rPr>
          <w:rFonts w:cstheme="minorHAnsi"/>
          <w:color w:val="00A9A0"/>
          <w:highlight w:val="yellow"/>
        </w:rPr>
      </w:pPr>
    </w:p>
    <w:p w14:paraId="54AAD13A" w14:textId="77777777" w:rsidR="00A62E53" w:rsidRPr="00624473" w:rsidRDefault="00A62E53" w:rsidP="00A62E53">
      <w:pPr>
        <w:rPr>
          <w:rFonts w:cstheme="minorHAnsi"/>
          <w:b/>
          <w:color w:val="00A9A0"/>
          <w:sz w:val="24"/>
          <w:szCs w:val="24"/>
        </w:rPr>
      </w:pPr>
      <w:r w:rsidRPr="00624473">
        <w:rPr>
          <w:rFonts w:cstheme="minorHAnsi"/>
          <w:b/>
          <w:color w:val="00A9A0"/>
          <w:sz w:val="24"/>
          <w:szCs w:val="24"/>
        </w:rPr>
        <w:t>Dépense sportive des ménages</w:t>
      </w:r>
    </w:p>
    <w:p w14:paraId="382992BC" w14:textId="60807D26" w:rsidR="00A62E53" w:rsidRPr="00123E5D" w:rsidRDefault="00A62E53" w:rsidP="00A62E53">
      <w:pPr>
        <w:rPr>
          <w:rFonts w:cstheme="minorHAnsi"/>
          <w:szCs w:val="20"/>
        </w:rPr>
      </w:pPr>
      <w:r w:rsidRPr="00123E5D">
        <w:rPr>
          <w:rFonts w:cstheme="minorHAnsi"/>
          <w:szCs w:val="20"/>
        </w:rPr>
        <w:t>Les dépenses des ménages s’entendent au sens des ménages « purs »</w:t>
      </w:r>
      <w:r w:rsidR="003D4ADC" w:rsidRPr="00123E5D">
        <w:rPr>
          <w:rFonts w:cstheme="minorHAnsi"/>
          <w:szCs w:val="20"/>
        </w:rPr>
        <w:t>,</w:t>
      </w:r>
      <w:r w:rsidRPr="00123E5D">
        <w:rPr>
          <w:rFonts w:cstheme="minorHAnsi"/>
          <w:szCs w:val="20"/>
        </w:rPr>
        <w:t xml:space="preserve"> </w:t>
      </w:r>
      <w:r w:rsidR="00AE2C50" w:rsidRPr="00123E5D">
        <w:rPr>
          <w:rFonts w:cstheme="minorHAnsi"/>
          <w:szCs w:val="20"/>
        </w:rPr>
        <w:t>c’est-à-dire</w:t>
      </w:r>
      <w:r w:rsidRPr="00123E5D">
        <w:rPr>
          <w:rFonts w:cstheme="minorHAnsi"/>
          <w:szCs w:val="20"/>
        </w:rPr>
        <w:t xml:space="preserve"> considérés indépendamment de leurs activités d’entrepreneurs individuels (secteur institutionnel S14B de la comptabilité nationale). Leurs dépenses sont donc des dépenses de consommation finale ou des transferts courants en faveur du secteur S15 des ISBLSM (institutions sans but lucratif au service des ménages, au sens de la comptabilité nationale, typiquement : associations, fondations…).</w:t>
      </w:r>
    </w:p>
    <w:p w14:paraId="2DEF0905" w14:textId="3C900787" w:rsidR="00A62E53" w:rsidRDefault="00A62E53" w:rsidP="00A62E53">
      <w:pPr>
        <w:rPr>
          <w:rFonts w:cstheme="minorHAnsi"/>
          <w:szCs w:val="20"/>
        </w:rPr>
      </w:pPr>
      <w:r w:rsidRPr="00123E5D">
        <w:rPr>
          <w:rFonts w:cstheme="minorHAnsi"/>
          <w:szCs w:val="20"/>
        </w:rPr>
        <w:t>Plus précisément, les dépenses sportives</w:t>
      </w:r>
      <w:r w:rsidR="00BE14D5" w:rsidRPr="00123E5D">
        <w:rPr>
          <w:rFonts w:cstheme="minorHAnsi"/>
          <w:szCs w:val="20"/>
        </w:rPr>
        <w:t xml:space="preserve"> </w:t>
      </w:r>
      <w:r w:rsidRPr="00123E5D">
        <w:rPr>
          <w:rFonts w:cstheme="minorHAnsi"/>
          <w:szCs w:val="20"/>
        </w:rPr>
        <w:t>des ménages (pour les sources</w:t>
      </w:r>
      <w:r w:rsidR="00980B87" w:rsidRPr="00123E5D">
        <w:rPr>
          <w:rFonts w:cstheme="minorHAnsi"/>
          <w:szCs w:val="20"/>
        </w:rPr>
        <w:t>,</w:t>
      </w:r>
      <w:r w:rsidRPr="00123E5D">
        <w:rPr>
          <w:rFonts w:cstheme="minorHAnsi"/>
          <w:szCs w:val="20"/>
        </w:rPr>
        <w:t xml:space="preserve"> voir </w:t>
      </w:r>
      <w:r w:rsidR="009B65E9" w:rsidRPr="00123E5D">
        <w:rPr>
          <w:rFonts w:cstheme="minorHAnsi"/>
          <w:szCs w:val="20"/>
        </w:rPr>
        <w:t xml:space="preserve">tableau </w:t>
      </w:r>
      <w:r w:rsidR="008962E3" w:rsidRPr="00123E5D">
        <w:rPr>
          <w:rFonts w:cstheme="minorHAnsi"/>
          <w:szCs w:val="20"/>
        </w:rPr>
        <w:t>ci-dessous</w:t>
      </w:r>
      <w:r w:rsidRPr="00123E5D">
        <w:rPr>
          <w:rFonts w:cstheme="minorHAnsi"/>
          <w:szCs w:val="20"/>
        </w:rPr>
        <w:t xml:space="preserve">) incluent toutes celles nécessaires </w:t>
      </w:r>
      <w:r w:rsidR="00AE2C50" w:rsidRPr="00123E5D">
        <w:rPr>
          <w:rFonts w:cstheme="minorHAnsi"/>
          <w:szCs w:val="20"/>
        </w:rPr>
        <w:t xml:space="preserve">à </w:t>
      </w:r>
      <w:r w:rsidRPr="00123E5D">
        <w:rPr>
          <w:rFonts w:cstheme="minorHAnsi"/>
          <w:szCs w:val="20"/>
        </w:rPr>
        <w:t>la pratique d’un sport ou pour assister à un événement sportif. Ces dépenses peuvent se décomposer en achats de services et achats de biens de consommation.</w:t>
      </w:r>
    </w:p>
    <w:p w14:paraId="48F75F09" w14:textId="5505AF84" w:rsidR="00DA6E53" w:rsidRDefault="00DA6E53">
      <w:pPr>
        <w:spacing w:after="200" w:line="276" w:lineRule="auto"/>
        <w:jc w:val="left"/>
        <w:rPr>
          <w:rFonts w:cstheme="minorHAnsi"/>
          <w:szCs w:val="20"/>
        </w:rPr>
      </w:pPr>
      <w:r>
        <w:rPr>
          <w:rFonts w:cstheme="minorHAnsi"/>
          <w:szCs w:val="20"/>
        </w:rPr>
        <w:br w:type="page"/>
      </w:r>
    </w:p>
    <w:p w14:paraId="4639CCAC" w14:textId="77777777" w:rsidR="00A62E53" w:rsidRPr="00DA6E53" w:rsidRDefault="00A62E53" w:rsidP="00A62E53">
      <w:pPr>
        <w:spacing w:before="120"/>
        <w:rPr>
          <w:rFonts w:ascii="Raleway SemiBold" w:hAnsi="Raleway SemiBold" w:cstheme="minorHAnsi"/>
          <w:b/>
          <w:bCs/>
          <w:i/>
          <w:iCs/>
          <w:szCs w:val="20"/>
        </w:rPr>
      </w:pPr>
      <w:r w:rsidRPr="00DA6E53">
        <w:rPr>
          <w:rFonts w:ascii="Raleway SemiBold" w:hAnsi="Raleway SemiBold" w:cstheme="minorHAnsi"/>
          <w:b/>
          <w:bCs/>
          <w:i/>
          <w:iCs/>
          <w:szCs w:val="20"/>
        </w:rPr>
        <w:lastRenderedPageBreak/>
        <w:t>Achats de services</w:t>
      </w:r>
    </w:p>
    <w:p w14:paraId="326DC3BE" w14:textId="56646465" w:rsidR="00A62E53" w:rsidRPr="00123E5D" w:rsidRDefault="00A62E53" w:rsidP="00A62E53">
      <w:pPr>
        <w:rPr>
          <w:rFonts w:cstheme="minorHAnsi"/>
          <w:szCs w:val="20"/>
        </w:rPr>
      </w:pPr>
      <w:r w:rsidRPr="00123E5D">
        <w:rPr>
          <w:rFonts w:cstheme="minorHAnsi"/>
          <w:szCs w:val="20"/>
        </w:rPr>
        <w:t xml:space="preserve">Les achats de services représentent </w:t>
      </w:r>
      <w:r w:rsidR="00A656D4" w:rsidRPr="00123E5D">
        <w:rPr>
          <w:rFonts w:cstheme="minorHAnsi"/>
          <w:szCs w:val="20"/>
        </w:rPr>
        <w:t>moins d’</w:t>
      </w:r>
      <w:r w:rsidRPr="00123E5D">
        <w:rPr>
          <w:rFonts w:cstheme="minorHAnsi"/>
          <w:szCs w:val="20"/>
        </w:rPr>
        <w:t>un tiers du total</w:t>
      </w:r>
      <w:r w:rsidR="00DA6E53">
        <w:rPr>
          <w:rFonts w:cstheme="minorHAnsi"/>
          <w:szCs w:val="20"/>
        </w:rPr>
        <w:t xml:space="preserve"> </w:t>
      </w:r>
      <w:r w:rsidRPr="00123E5D">
        <w:rPr>
          <w:rFonts w:cstheme="minorHAnsi"/>
          <w:szCs w:val="20"/>
        </w:rPr>
        <w:t>de la dépense sportive des ménages</w:t>
      </w:r>
      <w:r w:rsidR="00A656D4" w:rsidRPr="00123E5D">
        <w:rPr>
          <w:rFonts w:cstheme="minorHAnsi"/>
          <w:szCs w:val="20"/>
        </w:rPr>
        <w:t>. Il s’agit notamment de la</w:t>
      </w:r>
      <w:r w:rsidRPr="00123E5D">
        <w:rPr>
          <w:rFonts w:cstheme="minorHAnsi"/>
          <w:szCs w:val="20"/>
        </w:rPr>
        <w:t xml:space="preserve"> souscription d’une licence, </w:t>
      </w:r>
      <w:r w:rsidR="00A656D4" w:rsidRPr="00123E5D">
        <w:rPr>
          <w:rFonts w:cstheme="minorHAnsi"/>
          <w:szCs w:val="20"/>
        </w:rPr>
        <w:t>de l’</w:t>
      </w:r>
      <w:r w:rsidRPr="00123E5D">
        <w:rPr>
          <w:rFonts w:cstheme="minorHAnsi"/>
          <w:szCs w:val="20"/>
        </w:rPr>
        <w:t xml:space="preserve">adhésion à un club de sport ou </w:t>
      </w:r>
      <w:r w:rsidR="00A656D4" w:rsidRPr="00123E5D">
        <w:rPr>
          <w:rFonts w:cstheme="minorHAnsi"/>
          <w:szCs w:val="20"/>
        </w:rPr>
        <w:t>d’</w:t>
      </w:r>
      <w:r w:rsidRPr="00123E5D">
        <w:rPr>
          <w:rFonts w:cstheme="minorHAnsi"/>
          <w:szCs w:val="20"/>
        </w:rPr>
        <w:t xml:space="preserve">autres associations sportives, </w:t>
      </w:r>
      <w:r w:rsidR="00A656D4" w:rsidRPr="00123E5D">
        <w:rPr>
          <w:rFonts w:cstheme="minorHAnsi"/>
          <w:szCs w:val="20"/>
        </w:rPr>
        <w:t xml:space="preserve">des </w:t>
      </w:r>
      <w:r w:rsidRPr="00123E5D">
        <w:rPr>
          <w:rFonts w:cstheme="minorHAnsi"/>
          <w:szCs w:val="20"/>
        </w:rPr>
        <w:t xml:space="preserve">droits d’accès aux installations sportives privées ou publiques, </w:t>
      </w:r>
      <w:r w:rsidR="00A656D4" w:rsidRPr="00123E5D">
        <w:rPr>
          <w:rFonts w:cstheme="minorHAnsi"/>
          <w:szCs w:val="20"/>
        </w:rPr>
        <w:t xml:space="preserve">des </w:t>
      </w:r>
      <w:r w:rsidRPr="00123E5D">
        <w:rPr>
          <w:rFonts w:cstheme="minorHAnsi"/>
          <w:szCs w:val="20"/>
        </w:rPr>
        <w:t>billets pour assister aux manifestations sportives… Les données sont issues de la comptabilité nationale.</w:t>
      </w:r>
    </w:p>
    <w:p w14:paraId="37FB2106" w14:textId="77777777" w:rsidR="00A62E53" w:rsidRPr="00DA6E53" w:rsidRDefault="00A62E53" w:rsidP="00A62E53">
      <w:pPr>
        <w:spacing w:before="120"/>
        <w:rPr>
          <w:rFonts w:ascii="Raleway SemiBold" w:hAnsi="Raleway SemiBold" w:cstheme="minorHAnsi"/>
          <w:b/>
          <w:bCs/>
          <w:i/>
          <w:iCs/>
          <w:szCs w:val="20"/>
        </w:rPr>
      </w:pPr>
      <w:r w:rsidRPr="00DA6E53">
        <w:rPr>
          <w:rFonts w:ascii="Raleway SemiBold" w:hAnsi="Raleway SemiBold" w:cstheme="minorHAnsi"/>
          <w:b/>
          <w:bCs/>
          <w:i/>
          <w:iCs/>
          <w:szCs w:val="20"/>
        </w:rPr>
        <w:t>Achats de biens de consommation</w:t>
      </w:r>
    </w:p>
    <w:p w14:paraId="382EA438" w14:textId="75EC409D" w:rsidR="00A62E53" w:rsidRPr="00123E5D" w:rsidRDefault="00A62E53" w:rsidP="00A62E53">
      <w:pPr>
        <w:rPr>
          <w:rFonts w:cstheme="minorHAnsi"/>
          <w:szCs w:val="20"/>
        </w:rPr>
      </w:pPr>
      <w:r w:rsidRPr="00123E5D">
        <w:rPr>
          <w:rFonts w:cstheme="minorHAnsi"/>
          <w:szCs w:val="20"/>
        </w:rPr>
        <w:t xml:space="preserve">Les achats de biens de consommation représentent </w:t>
      </w:r>
      <w:r w:rsidR="00A656D4" w:rsidRPr="00123E5D">
        <w:rPr>
          <w:rFonts w:cstheme="minorHAnsi"/>
          <w:szCs w:val="20"/>
        </w:rPr>
        <w:t>le reste</w:t>
      </w:r>
      <w:r w:rsidRPr="00123E5D">
        <w:rPr>
          <w:rFonts w:cstheme="minorHAnsi"/>
          <w:szCs w:val="20"/>
        </w:rPr>
        <w:t xml:space="preserve"> de la dépense sportive des ménages. Il s’agit des biens de consommation dont l’usage est habituellement requis pour pouvoir exercer des activités sportives ou en améliorer les pratiques. Ce dernier poste suscite des problèmes de frontières, dans le cas de l’habillement sportif par exemple. Dans ce cas, et pour rester cohérent avec la définition des dépenses sportives, le caractère fonctionnel des vêtements a été retenu comme critère. Les dépenses annexes, </w:t>
      </w:r>
      <w:r w:rsidR="00AE2C50" w:rsidRPr="00123E5D">
        <w:rPr>
          <w:rFonts w:cstheme="minorHAnsi"/>
          <w:szCs w:val="20"/>
        </w:rPr>
        <w:t>c’est-à-dire</w:t>
      </w:r>
      <w:r w:rsidRPr="00123E5D">
        <w:rPr>
          <w:rFonts w:cstheme="minorHAnsi"/>
          <w:szCs w:val="20"/>
        </w:rPr>
        <w:t xml:space="preserve"> qui ne sont pas spécifiquement liées à l’exercice d’une pratique sportive (par exemple l’achat du ticket de bus utilisé pour se rendre sur un lieu de pratique) ne sont pas comptabilisées dans ce poste.</w:t>
      </w:r>
    </w:p>
    <w:p w14:paraId="705EC54B" w14:textId="0643BB52" w:rsidR="00A62E53" w:rsidRPr="00123E5D" w:rsidRDefault="00A62E53" w:rsidP="00A62E53">
      <w:pPr>
        <w:rPr>
          <w:rFonts w:cstheme="minorHAnsi"/>
          <w:szCs w:val="20"/>
        </w:rPr>
      </w:pPr>
      <w:r w:rsidRPr="00123E5D">
        <w:rPr>
          <w:rFonts w:cstheme="minorHAnsi"/>
          <w:szCs w:val="20"/>
        </w:rPr>
        <w:t xml:space="preserve">Pour l’évaluation de ce poste, les données de comptabilité nationale (qui sont passées désormais de base </w:t>
      </w:r>
      <w:r w:rsidR="00CA27BA" w:rsidRPr="00123E5D">
        <w:rPr>
          <w:rFonts w:cstheme="minorHAnsi"/>
          <w:szCs w:val="20"/>
        </w:rPr>
        <w:t>2014 en base 2020</w:t>
      </w:r>
      <w:r w:rsidRPr="00123E5D">
        <w:rPr>
          <w:rFonts w:cstheme="minorHAnsi"/>
          <w:szCs w:val="20"/>
        </w:rPr>
        <w:t>) ont été complétées et enrichies par des données ciblées sur certains secteurs précis de la dépense des ménages, et provenant :</w:t>
      </w:r>
    </w:p>
    <w:p w14:paraId="7EC3BCFD" w14:textId="3B8F5006" w:rsidR="00A62E53" w:rsidRPr="00DA6E53" w:rsidRDefault="00A62E53" w:rsidP="00A62E53">
      <w:pPr>
        <w:pStyle w:val="Paragraphedeliste"/>
        <w:numPr>
          <w:ilvl w:val="0"/>
          <w:numId w:val="1"/>
        </w:numPr>
        <w:rPr>
          <w:rFonts w:ascii="Raleway" w:hAnsi="Raleway" w:cs="Calibri (Corps)"/>
          <w:szCs w:val="20"/>
        </w:rPr>
      </w:pPr>
      <w:r w:rsidRPr="00DA6E53">
        <w:rPr>
          <w:rFonts w:ascii="Raleway" w:hAnsi="Raleway" w:cs="Calibri (Corps)"/>
          <w:szCs w:val="20"/>
        </w:rPr>
        <w:t xml:space="preserve">de l’Institut </w:t>
      </w:r>
      <w:r w:rsidR="00AE2C50" w:rsidRPr="00DA6E53">
        <w:rPr>
          <w:rFonts w:ascii="Raleway" w:hAnsi="Raleway" w:cs="Calibri (Corps)"/>
          <w:szCs w:val="20"/>
        </w:rPr>
        <w:t xml:space="preserve">français </w:t>
      </w:r>
      <w:r w:rsidRPr="00DA6E53">
        <w:rPr>
          <w:rFonts w:ascii="Raleway" w:hAnsi="Raleway" w:cs="Calibri (Corps)"/>
          <w:szCs w:val="20"/>
        </w:rPr>
        <w:t xml:space="preserve">de la </w:t>
      </w:r>
      <w:r w:rsidR="00AE2C50" w:rsidRPr="00DA6E53">
        <w:rPr>
          <w:rFonts w:ascii="Raleway" w:hAnsi="Raleway" w:cs="Calibri (Corps)"/>
          <w:szCs w:val="20"/>
        </w:rPr>
        <w:t>m</w:t>
      </w:r>
      <w:r w:rsidRPr="00DA6E53">
        <w:rPr>
          <w:rFonts w:ascii="Raleway" w:hAnsi="Raleway" w:cs="Calibri (Corps)"/>
          <w:szCs w:val="20"/>
        </w:rPr>
        <w:t>ode jusqu’en 2014 pour les vêtements de sport (depuis on applique à la base le taux d’évolution provenant du poste équivalent de la Comptabilité nationale) ;</w:t>
      </w:r>
    </w:p>
    <w:p w14:paraId="363621BC" w14:textId="658F6CFB" w:rsidR="00A62E53" w:rsidRPr="00DA6E53" w:rsidRDefault="00A62E53" w:rsidP="00A62E53">
      <w:pPr>
        <w:pStyle w:val="Paragraphedeliste"/>
        <w:numPr>
          <w:ilvl w:val="0"/>
          <w:numId w:val="1"/>
        </w:numPr>
        <w:rPr>
          <w:rFonts w:ascii="Raleway" w:hAnsi="Raleway" w:cs="Calibri (Corps)"/>
          <w:szCs w:val="20"/>
        </w:rPr>
      </w:pPr>
      <w:r w:rsidRPr="00DA6E53">
        <w:rPr>
          <w:rFonts w:ascii="Raleway" w:hAnsi="Raleway" w:cs="Calibri (Corps)"/>
          <w:szCs w:val="20"/>
        </w:rPr>
        <w:t xml:space="preserve">du cabinet </w:t>
      </w:r>
      <w:r w:rsidR="00934A21" w:rsidRPr="00DA6E53">
        <w:rPr>
          <w:rFonts w:ascii="Raleway" w:hAnsi="Raleway" w:cs="Calibri (Corps)"/>
          <w:szCs w:val="20"/>
        </w:rPr>
        <w:t xml:space="preserve">Circana (anciennement </w:t>
      </w:r>
      <w:r w:rsidRPr="00DA6E53">
        <w:rPr>
          <w:rFonts w:ascii="Raleway" w:hAnsi="Raleway" w:cs="Calibri (Corps)"/>
          <w:szCs w:val="20"/>
        </w:rPr>
        <w:t>NPD</w:t>
      </w:r>
      <w:r w:rsidR="00934A21" w:rsidRPr="00DA6E53">
        <w:rPr>
          <w:rFonts w:ascii="Raleway" w:hAnsi="Raleway" w:cs="Calibri (Corps)"/>
          <w:szCs w:val="20"/>
        </w:rPr>
        <w:t>)</w:t>
      </w:r>
      <w:r w:rsidRPr="00DA6E53">
        <w:rPr>
          <w:rFonts w:ascii="Raleway" w:hAnsi="Raleway" w:cs="Calibri (Corps)"/>
          <w:szCs w:val="20"/>
        </w:rPr>
        <w:t xml:space="preserve"> pour le taux d’évolution des ventes de chaussures de sport</w:t>
      </w:r>
      <w:r w:rsidR="00B52494" w:rsidRPr="00DA6E53">
        <w:rPr>
          <w:rFonts w:ascii="Raleway" w:hAnsi="Raleway" w:cs="Calibri (Corps)"/>
          <w:szCs w:val="20"/>
        </w:rPr>
        <w:t> ;</w:t>
      </w:r>
    </w:p>
    <w:p w14:paraId="55B8EB75" w14:textId="3B6FBDFF" w:rsidR="00A62E53" w:rsidRPr="00DA6E53" w:rsidRDefault="00A62E53" w:rsidP="00A62E53">
      <w:pPr>
        <w:pStyle w:val="Paragraphedeliste"/>
        <w:numPr>
          <w:ilvl w:val="0"/>
          <w:numId w:val="1"/>
        </w:numPr>
        <w:rPr>
          <w:rFonts w:ascii="Raleway" w:hAnsi="Raleway" w:cs="Calibri (Corps)"/>
          <w:szCs w:val="20"/>
        </w:rPr>
      </w:pPr>
      <w:r w:rsidRPr="00DA6E53">
        <w:rPr>
          <w:rFonts w:ascii="Raleway" w:hAnsi="Raleway" w:cs="Calibri (Corps)"/>
          <w:szCs w:val="20"/>
        </w:rPr>
        <w:t xml:space="preserve">de la Fédération des </w:t>
      </w:r>
      <w:r w:rsidR="00AE2C50" w:rsidRPr="00DA6E53">
        <w:rPr>
          <w:rFonts w:ascii="Raleway" w:hAnsi="Raleway" w:cs="Calibri (Corps)"/>
          <w:szCs w:val="20"/>
        </w:rPr>
        <w:t>i</w:t>
      </w:r>
      <w:r w:rsidRPr="00DA6E53">
        <w:rPr>
          <w:rFonts w:ascii="Raleway" w:hAnsi="Raleway" w:cs="Calibri (Corps)"/>
          <w:szCs w:val="20"/>
        </w:rPr>
        <w:t xml:space="preserve">ndustries </w:t>
      </w:r>
      <w:r w:rsidR="00AE2C50" w:rsidRPr="00DA6E53">
        <w:rPr>
          <w:rFonts w:ascii="Raleway" w:hAnsi="Raleway" w:cs="Calibri (Corps)"/>
          <w:szCs w:val="20"/>
        </w:rPr>
        <w:t>n</w:t>
      </w:r>
      <w:r w:rsidRPr="00DA6E53">
        <w:rPr>
          <w:rFonts w:ascii="Raleway" w:hAnsi="Raleway" w:cs="Calibri (Corps)"/>
          <w:szCs w:val="20"/>
        </w:rPr>
        <w:t>autiques pour le taux d’évolution des ventes de bateaux de plaisance français en France et les imports de bateaux de plaisance.</w:t>
      </w:r>
    </w:p>
    <w:p w14:paraId="34E3A336" w14:textId="2A8B75CE" w:rsidR="00A62E53" w:rsidRPr="00DA6E53" w:rsidRDefault="00A62E53" w:rsidP="00A62E53">
      <w:pPr>
        <w:rPr>
          <w:rFonts w:cstheme="minorHAnsi"/>
          <w:b/>
          <w:color w:val="00A9A0"/>
          <w:sz w:val="24"/>
          <w:szCs w:val="24"/>
        </w:rPr>
      </w:pPr>
      <w:r w:rsidRPr="00DA6E53">
        <w:rPr>
          <w:rFonts w:cstheme="minorHAnsi"/>
          <w:b/>
          <w:color w:val="00A9A0"/>
          <w:sz w:val="24"/>
          <w:szCs w:val="24"/>
        </w:rPr>
        <w:t>Sources utilisées pour évaluer la dépense sportive des ménages</w:t>
      </w:r>
    </w:p>
    <w:tbl>
      <w:tblPr>
        <w:tblW w:w="9204" w:type="dxa"/>
        <w:jc w:val="center"/>
        <w:tblCellMar>
          <w:left w:w="70" w:type="dxa"/>
          <w:right w:w="70" w:type="dxa"/>
        </w:tblCellMar>
        <w:tblLook w:val="04A0" w:firstRow="1" w:lastRow="0" w:firstColumn="1" w:lastColumn="0" w:noHBand="0" w:noVBand="1"/>
      </w:tblPr>
      <w:tblGrid>
        <w:gridCol w:w="4201"/>
        <w:gridCol w:w="5003"/>
      </w:tblGrid>
      <w:tr w:rsidR="00A62E53" w:rsidRPr="00123E5D" w14:paraId="750295DA" w14:textId="77777777" w:rsidTr="00123E5D">
        <w:trPr>
          <w:trHeight w:val="280"/>
          <w:jc w:val="center"/>
        </w:trPr>
        <w:tc>
          <w:tcPr>
            <w:tcW w:w="4201" w:type="dxa"/>
            <w:tcBorders>
              <w:top w:val="single" w:sz="8" w:space="0" w:color="auto"/>
              <w:left w:val="single" w:sz="8" w:space="0" w:color="auto"/>
              <w:bottom w:val="nil"/>
              <w:right w:val="nil"/>
            </w:tcBorders>
            <w:shd w:val="clear" w:color="000000" w:fill="D9D9D9"/>
            <w:vAlign w:val="center"/>
            <w:hideMark/>
          </w:tcPr>
          <w:p w14:paraId="1BF91AAC" w14:textId="77777777" w:rsidR="00A62E53" w:rsidRPr="00123E5D" w:rsidRDefault="00A62E53" w:rsidP="0017573E">
            <w:pPr>
              <w:jc w:val="center"/>
              <w:rPr>
                <w:rFonts w:eastAsia="Times New Roman" w:cstheme="minorHAnsi"/>
                <w:b/>
                <w:bCs/>
                <w:color w:val="000000"/>
                <w:sz w:val="18"/>
                <w:szCs w:val="18"/>
                <w:lang w:eastAsia="fr-FR"/>
              </w:rPr>
            </w:pPr>
            <w:r w:rsidRPr="00123E5D">
              <w:rPr>
                <w:rFonts w:eastAsia="Times New Roman" w:cstheme="minorHAnsi"/>
                <w:b/>
                <w:bCs/>
                <w:color w:val="000000"/>
                <w:sz w:val="18"/>
                <w:szCs w:val="18"/>
                <w:lang w:eastAsia="fr-FR"/>
              </w:rPr>
              <w:t>BIENS SPORTIFS</w:t>
            </w:r>
          </w:p>
        </w:tc>
        <w:tc>
          <w:tcPr>
            <w:tcW w:w="5003" w:type="dxa"/>
            <w:tcBorders>
              <w:top w:val="single" w:sz="8" w:space="0" w:color="auto"/>
              <w:left w:val="single" w:sz="4" w:space="0" w:color="auto"/>
              <w:bottom w:val="single" w:sz="8" w:space="0" w:color="auto"/>
              <w:right w:val="single" w:sz="8" w:space="0" w:color="auto"/>
            </w:tcBorders>
            <w:shd w:val="clear" w:color="000000" w:fill="D9D9D9"/>
            <w:vAlign w:val="center"/>
            <w:hideMark/>
          </w:tcPr>
          <w:p w14:paraId="3E80F9F9" w14:textId="77777777" w:rsidR="00A62E53" w:rsidRPr="00123E5D" w:rsidRDefault="00A62E53" w:rsidP="0017573E">
            <w:pPr>
              <w:jc w:val="center"/>
              <w:rPr>
                <w:rFonts w:eastAsia="Times New Roman" w:cstheme="minorHAnsi"/>
                <w:b/>
                <w:bCs/>
                <w:color w:val="000000"/>
                <w:sz w:val="18"/>
                <w:szCs w:val="18"/>
                <w:lang w:eastAsia="fr-FR"/>
              </w:rPr>
            </w:pPr>
            <w:r w:rsidRPr="00123E5D">
              <w:rPr>
                <w:rFonts w:eastAsia="Times New Roman" w:cstheme="minorHAnsi"/>
                <w:b/>
                <w:bCs/>
                <w:color w:val="000000"/>
                <w:sz w:val="18"/>
                <w:szCs w:val="18"/>
                <w:lang w:eastAsia="fr-FR"/>
              </w:rPr>
              <w:t>SOURCE</w:t>
            </w:r>
          </w:p>
        </w:tc>
      </w:tr>
      <w:tr w:rsidR="00A62E53" w:rsidRPr="00123E5D" w14:paraId="67C23E9C" w14:textId="77777777" w:rsidTr="00123E5D">
        <w:trPr>
          <w:trHeight w:val="265"/>
          <w:jc w:val="center"/>
        </w:trPr>
        <w:tc>
          <w:tcPr>
            <w:tcW w:w="42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F3BC893" w14:textId="77777777" w:rsidR="00A62E53" w:rsidRPr="00123E5D" w:rsidRDefault="00A62E53" w:rsidP="00123E5D">
            <w:pPr>
              <w:spacing w:after="60" w:line="240" w:lineRule="auto"/>
              <w:rPr>
                <w:rFonts w:eastAsia="Times New Roman" w:cstheme="minorHAnsi"/>
                <w:color w:val="000000"/>
                <w:sz w:val="18"/>
                <w:szCs w:val="18"/>
                <w:lang w:eastAsia="fr-FR"/>
              </w:rPr>
            </w:pPr>
            <w:r w:rsidRPr="00123E5D">
              <w:rPr>
                <w:rFonts w:eastAsia="Times New Roman" w:cstheme="minorHAnsi"/>
                <w:color w:val="000000"/>
                <w:sz w:val="18"/>
                <w:szCs w:val="18"/>
                <w:lang w:eastAsia="fr-FR"/>
              </w:rPr>
              <w:t>Vêtements de sport</w:t>
            </w:r>
          </w:p>
        </w:tc>
        <w:tc>
          <w:tcPr>
            <w:tcW w:w="5003" w:type="dxa"/>
            <w:tcBorders>
              <w:top w:val="nil"/>
              <w:left w:val="nil"/>
              <w:bottom w:val="single" w:sz="4" w:space="0" w:color="auto"/>
              <w:right w:val="single" w:sz="8" w:space="0" w:color="auto"/>
            </w:tcBorders>
            <w:shd w:val="clear" w:color="auto" w:fill="auto"/>
            <w:vAlign w:val="center"/>
            <w:hideMark/>
          </w:tcPr>
          <w:p w14:paraId="338A9D53" w14:textId="455555CA" w:rsidR="00A62E53" w:rsidRPr="00123E5D" w:rsidRDefault="00A62E53" w:rsidP="00123E5D">
            <w:pPr>
              <w:spacing w:after="60" w:line="240" w:lineRule="auto"/>
              <w:rPr>
                <w:rFonts w:eastAsia="Times New Roman" w:cstheme="minorHAnsi"/>
                <w:color w:val="000000"/>
                <w:sz w:val="18"/>
                <w:szCs w:val="18"/>
                <w:lang w:eastAsia="fr-FR"/>
              </w:rPr>
            </w:pPr>
            <w:r w:rsidRPr="00123E5D">
              <w:rPr>
                <w:rFonts w:eastAsia="Times New Roman" w:cstheme="minorHAnsi"/>
                <w:color w:val="000000"/>
                <w:sz w:val="18"/>
                <w:szCs w:val="18"/>
                <w:lang w:eastAsia="fr-FR"/>
              </w:rPr>
              <w:t xml:space="preserve">Base Institut français de la mode jusqu’en 2014 puis application d’un taux d’évolution de la </w:t>
            </w:r>
            <w:r w:rsidR="00B52494" w:rsidRPr="00123E5D">
              <w:rPr>
                <w:rFonts w:eastAsia="Times New Roman" w:cstheme="minorHAnsi"/>
                <w:color w:val="000000"/>
                <w:sz w:val="18"/>
                <w:szCs w:val="18"/>
                <w:lang w:eastAsia="fr-FR"/>
              </w:rPr>
              <w:t xml:space="preserve">comptabilité </w:t>
            </w:r>
            <w:r w:rsidRPr="00123E5D">
              <w:rPr>
                <w:rFonts w:eastAsia="Times New Roman" w:cstheme="minorHAnsi"/>
                <w:color w:val="000000"/>
                <w:sz w:val="18"/>
                <w:szCs w:val="18"/>
                <w:lang w:eastAsia="fr-FR"/>
              </w:rPr>
              <w:t>nationale</w:t>
            </w:r>
          </w:p>
        </w:tc>
      </w:tr>
      <w:tr w:rsidR="00A62E53" w:rsidRPr="00123E5D" w14:paraId="7C141368" w14:textId="77777777" w:rsidTr="00123E5D">
        <w:trPr>
          <w:trHeight w:val="72"/>
          <w:jc w:val="center"/>
        </w:trPr>
        <w:tc>
          <w:tcPr>
            <w:tcW w:w="4201" w:type="dxa"/>
            <w:tcBorders>
              <w:top w:val="nil"/>
              <w:left w:val="single" w:sz="8" w:space="0" w:color="auto"/>
              <w:bottom w:val="single" w:sz="4" w:space="0" w:color="auto"/>
              <w:right w:val="single" w:sz="4" w:space="0" w:color="auto"/>
            </w:tcBorders>
            <w:shd w:val="clear" w:color="auto" w:fill="auto"/>
            <w:vAlign w:val="center"/>
            <w:hideMark/>
          </w:tcPr>
          <w:p w14:paraId="21E8CF20" w14:textId="77777777" w:rsidR="00A62E53" w:rsidRPr="00123E5D" w:rsidRDefault="00A62E53" w:rsidP="00123E5D">
            <w:pPr>
              <w:spacing w:after="60" w:line="240" w:lineRule="auto"/>
              <w:rPr>
                <w:rFonts w:eastAsia="Times New Roman" w:cstheme="minorHAnsi"/>
                <w:color w:val="000000"/>
                <w:sz w:val="18"/>
                <w:szCs w:val="18"/>
                <w:lang w:eastAsia="fr-FR"/>
              </w:rPr>
            </w:pPr>
            <w:r w:rsidRPr="00123E5D">
              <w:rPr>
                <w:rFonts w:eastAsia="Times New Roman" w:cstheme="minorHAnsi"/>
                <w:color w:val="000000"/>
                <w:sz w:val="18"/>
                <w:szCs w:val="18"/>
                <w:lang w:eastAsia="fr-FR"/>
              </w:rPr>
              <w:t>Chaussures de sport, hors chaussures de ski</w:t>
            </w:r>
          </w:p>
        </w:tc>
        <w:tc>
          <w:tcPr>
            <w:tcW w:w="5003" w:type="dxa"/>
            <w:tcBorders>
              <w:top w:val="nil"/>
              <w:left w:val="nil"/>
              <w:bottom w:val="single" w:sz="4" w:space="0" w:color="auto"/>
              <w:right w:val="single" w:sz="8" w:space="0" w:color="auto"/>
            </w:tcBorders>
            <w:shd w:val="clear" w:color="auto" w:fill="auto"/>
            <w:noWrap/>
            <w:vAlign w:val="center"/>
            <w:hideMark/>
          </w:tcPr>
          <w:p w14:paraId="7B5EBA0A" w14:textId="77777777" w:rsidR="00A62E53" w:rsidRPr="00123E5D" w:rsidRDefault="00A62E53" w:rsidP="00123E5D">
            <w:pPr>
              <w:spacing w:after="60" w:line="240" w:lineRule="auto"/>
              <w:rPr>
                <w:rFonts w:eastAsia="Times New Roman" w:cstheme="minorHAnsi"/>
                <w:color w:val="000000"/>
                <w:sz w:val="18"/>
                <w:szCs w:val="18"/>
                <w:lang w:eastAsia="fr-FR"/>
              </w:rPr>
            </w:pPr>
            <w:r w:rsidRPr="00123E5D">
              <w:rPr>
                <w:rFonts w:eastAsia="Times New Roman" w:cstheme="minorHAnsi"/>
                <w:color w:val="000000"/>
                <w:sz w:val="18"/>
                <w:szCs w:val="18"/>
                <w:lang w:eastAsia="fr-FR"/>
              </w:rPr>
              <w:t>Taux d’évolution donné par le Cabinet NPD</w:t>
            </w:r>
          </w:p>
        </w:tc>
      </w:tr>
      <w:tr w:rsidR="00A62E53" w:rsidRPr="00123E5D" w14:paraId="712838E8" w14:textId="77777777" w:rsidTr="00123E5D">
        <w:trPr>
          <w:trHeight w:val="265"/>
          <w:jc w:val="center"/>
        </w:trPr>
        <w:tc>
          <w:tcPr>
            <w:tcW w:w="4201" w:type="dxa"/>
            <w:tcBorders>
              <w:top w:val="nil"/>
              <w:left w:val="single" w:sz="8" w:space="0" w:color="auto"/>
              <w:bottom w:val="single" w:sz="4" w:space="0" w:color="auto"/>
              <w:right w:val="single" w:sz="4" w:space="0" w:color="auto"/>
            </w:tcBorders>
            <w:shd w:val="clear" w:color="auto" w:fill="auto"/>
            <w:vAlign w:val="center"/>
            <w:hideMark/>
          </w:tcPr>
          <w:p w14:paraId="29396DB3" w14:textId="77777777" w:rsidR="00A62E53" w:rsidRPr="00123E5D" w:rsidRDefault="00A62E53" w:rsidP="00123E5D">
            <w:pPr>
              <w:spacing w:after="60" w:line="240" w:lineRule="auto"/>
              <w:rPr>
                <w:rFonts w:eastAsia="Times New Roman" w:cstheme="minorHAnsi"/>
                <w:color w:val="000000"/>
                <w:sz w:val="18"/>
                <w:szCs w:val="18"/>
                <w:lang w:eastAsia="fr-FR"/>
              </w:rPr>
            </w:pPr>
            <w:r w:rsidRPr="00123E5D">
              <w:rPr>
                <w:rFonts w:eastAsia="Times New Roman" w:cstheme="minorHAnsi"/>
                <w:color w:val="000000"/>
                <w:sz w:val="18"/>
                <w:szCs w:val="18"/>
                <w:lang w:eastAsia="fr-FR"/>
              </w:rPr>
              <w:t>Articles de sport</w:t>
            </w:r>
          </w:p>
        </w:tc>
        <w:tc>
          <w:tcPr>
            <w:tcW w:w="5003" w:type="dxa"/>
            <w:tcBorders>
              <w:top w:val="nil"/>
              <w:left w:val="nil"/>
              <w:bottom w:val="single" w:sz="4" w:space="0" w:color="auto"/>
              <w:right w:val="single" w:sz="8" w:space="0" w:color="auto"/>
            </w:tcBorders>
            <w:shd w:val="clear" w:color="auto" w:fill="auto"/>
            <w:noWrap/>
            <w:vAlign w:val="center"/>
            <w:hideMark/>
          </w:tcPr>
          <w:p w14:paraId="1B323BAE" w14:textId="77777777" w:rsidR="00A62E53" w:rsidRPr="00123E5D" w:rsidRDefault="00A62E53" w:rsidP="00123E5D">
            <w:pPr>
              <w:spacing w:after="60" w:line="240" w:lineRule="auto"/>
              <w:rPr>
                <w:rFonts w:eastAsia="Times New Roman" w:cstheme="minorHAnsi"/>
                <w:color w:val="000000"/>
                <w:sz w:val="18"/>
                <w:szCs w:val="18"/>
                <w:lang w:eastAsia="fr-FR"/>
              </w:rPr>
            </w:pPr>
            <w:r w:rsidRPr="00123E5D">
              <w:rPr>
                <w:rFonts w:eastAsia="Times New Roman" w:cstheme="minorHAnsi"/>
                <w:color w:val="000000"/>
                <w:sz w:val="18"/>
                <w:szCs w:val="18"/>
                <w:lang w:eastAsia="fr-FR"/>
              </w:rPr>
              <w:t>INSEE</w:t>
            </w:r>
          </w:p>
        </w:tc>
      </w:tr>
      <w:tr w:rsidR="00A62E53" w:rsidRPr="00123E5D" w14:paraId="03CC20A2" w14:textId="77777777" w:rsidTr="00123E5D">
        <w:trPr>
          <w:trHeight w:val="265"/>
          <w:jc w:val="center"/>
        </w:trPr>
        <w:tc>
          <w:tcPr>
            <w:tcW w:w="4201" w:type="dxa"/>
            <w:tcBorders>
              <w:top w:val="nil"/>
              <w:left w:val="single" w:sz="8" w:space="0" w:color="auto"/>
              <w:bottom w:val="single" w:sz="4" w:space="0" w:color="auto"/>
              <w:right w:val="single" w:sz="4" w:space="0" w:color="auto"/>
            </w:tcBorders>
            <w:shd w:val="clear" w:color="auto" w:fill="auto"/>
            <w:vAlign w:val="center"/>
            <w:hideMark/>
          </w:tcPr>
          <w:p w14:paraId="2F1C0D0D" w14:textId="77777777" w:rsidR="00A62E53" w:rsidRPr="00123E5D" w:rsidRDefault="00A62E53" w:rsidP="00123E5D">
            <w:pPr>
              <w:spacing w:after="60" w:line="240" w:lineRule="auto"/>
              <w:rPr>
                <w:rFonts w:eastAsia="Times New Roman" w:cstheme="minorHAnsi"/>
                <w:color w:val="000000"/>
                <w:sz w:val="18"/>
                <w:szCs w:val="18"/>
                <w:lang w:eastAsia="fr-FR"/>
              </w:rPr>
            </w:pPr>
            <w:r w:rsidRPr="00123E5D">
              <w:rPr>
                <w:rFonts w:eastAsia="Times New Roman" w:cstheme="minorHAnsi"/>
                <w:color w:val="000000"/>
                <w:sz w:val="18"/>
                <w:szCs w:val="18"/>
                <w:lang w:eastAsia="fr-FR"/>
              </w:rPr>
              <w:t>Armes de chasse et de tir sportif</w:t>
            </w:r>
          </w:p>
        </w:tc>
        <w:tc>
          <w:tcPr>
            <w:tcW w:w="5003" w:type="dxa"/>
            <w:tcBorders>
              <w:top w:val="nil"/>
              <w:left w:val="nil"/>
              <w:bottom w:val="single" w:sz="4" w:space="0" w:color="auto"/>
              <w:right w:val="single" w:sz="8" w:space="0" w:color="auto"/>
            </w:tcBorders>
            <w:shd w:val="clear" w:color="auto" w:fill="auto"/>
            <w:noWrap/>
            <w:vAlign w:val="center"/>
            <w:hideMark/>
          </w:tcPr>
          <w:p w14:paraId="622D6D6F" w14:textId="77777777" w:rsidR="00A62E53" w:rsidRPr="00123E5D" w:rsidRDefault="00A62E53" w:rsidP="00123E5D">
            <w:pPr>
              <w:spacing w:after="60" w:line="240" w:lineRule="auto"/>
              <w:rPr>
                <w:rFonts w:eastAsia="Times New Roman" w:cstheme="minorHAnsi"/>
                <w:color w:val="000000"/>
                <w:sz w:val="18"/>
                <w:szCs w:val="18"/>
                <w:lang w:eastAsia="fr-FR"/>
              </w:rPr>
            </w:pPr>
            <w:r w:rsidRPr="00123E5D">
              <w:rPr>
                <w:rFonts w:eastAsia="Times New Roman" w:cstheme="minorHAnsi"/>
                <w:color w:val="000000"/>
                <w:sz w:val="18"/>
                <w:szCs w:val="18"/>
                <w:lang w:eastAsia="fr-FR"/>
              </w:rPr>
              <w:t>INSEE</w:t>
            </w:r>
          </w:p>
        </w:tc>
      </w:tr>
      <w:tr w:rsidR="00A62E53" w:rsidRPr="00123E5D" w14:paraId="3BEC6472" w14:textId="77777777" w:rsidTr="00123E5D">
        <w:trPr>
          <w:trHeight w:val="265"/>
          <w:jc w:val="center"/>
        </w:trPr>
        <w:tc>
          <w:tcPr>
            <w:tcW w:w="4201" w:type="dxa"/>
            <w:tcBorders>
              <w:top w:val="nil"/>
              <w:left w:val="single" w:sz="8" w:space="0" w:color="auto"/>
              <w:bottom w:val="single" w:sz="4" w:space="0" w:color="auto"/>
              <w:right w:val="single" w:sz="4" w:space="0" w:color="auto"/>
            </w:tcBorders>
            <w:shd w:val="clear" w:color="auto" w:fill="auto"/>
            <w:vAlign w:val="center"/>
            <w:hideMark/>
          </w:tcPr>
          <w:p w14:paraId="490C8A24" w14:textId="77777777" w:rsidR="00A62E53" w:rsidRPr="00123E5D" w:rsidRDefault="00A62E53" w:rsidP="00123E5D">
            <w:pPr>
              <w:spacing w:after="60" w:line="240" w:lineRule="auto"/>
              <w:rPr>
                <w:rFonts w:eastAsia="Times New Roman" w:cstheme="minorHAnsi"/>
                <w:color w:val="000000"/>
                <w:sz w:val="18"/>
                <w:szCs w:val="18"/>
                <w:lang w:eastAsia="fr-FR"/>
              </w:rPr>
            </w:pPr>
            <w:r w:rsidRPr="00123E5D">
              <w:rPr>
                <w:rFonts w:eastAsia="Times New Roman" w:cstheme="minorHAnsi"/>
                <w:color w:val="000000"/>
                <w:sz w:val="18"/>
                <w:szCs w:val="18"/>
                <w:lang w:eastAsia="fr-FR"/>
              </w:rPr>
              <w:t>VTT et autres bicyclettes</w:t>
            </w:r>
          </w:p>
        </w:tc>
        <w:tc>
          <w:tcPr>
            <w:tcW w:w="5003" w:type="dxa"/>
            <w:tcBorders>
              <w:top w:val="nil"/>
              <w:left w:val="nil"/>
              <w:bottom w:val="single" w:sz="4" w:space="0" w:color="auto"/>
              <w:right w:val="single" w:sz="8" w:space="0" w:color="auto"/>
            </w:tcBorders>
            <w:shd w:val="clear" w:color="auto" w:fill="auto"/>
            <w:noWrap/>
            <w:vAlign w:val="center"/>
            <w:hideMark/>
          </w:tcPr>
          <w:p w14:paraId="011C7620" w14:textId="77777777" w:rsidR="00A62E53" w:rsidRPr="00123E5D" w:rsidRDefault="00A62E53" w:rsidP="00123E5D">
            <w:pPr>
              <w:spacing w:after="60" w:line="240" w:lineRule="auto"/>
              <w:rPr>
                <w:rFonts w:eastAsia="Times New Roman" w:cstheme="minorHAnsi"/>
                <w:color w:val="000000"/>
                <w:sz w:val="18"/>
                <w:szCs w:val="18"/>
                <w:lang w:eastAsia="fr-FR"/>
              </w:rPr>
            </w:pPr>
            <w:r w:rsidRPr="00123E5D">
              <w:rPr>
                <w:rFonts w:eastAsia="Times New Roman" w:cstheme="minorHAnsi"/>
                <w:color w:val="000000"/>
                <w:sz w:val="18"/>
                <w:szCs w:val="18"/>
                <w:lang w:eastAsia="fr-FR"/>
              </w:rPr>
              <w:t>INSEE</w:t>
            </w:r>
          </w:p>
        </w:tc>
      </w:tr>
      <w:tr w:rsidR="00A62E53" w:rsidRPr="00123E5D" w14:paraId="63E3DD31" w14:textId="77777777" w:rsidTr="00123E5D">
        <w:trPr>
          <w:trHeight w:val="530"/>
          <w:jc w:val="center"/>
        </w:trPr>
        <w:tc>
          <w:tcPr>
            <w:tcW w:w="4201" w:type="dxa"/>
            <w:tcBorders>
              <w:top w:val="nil"/>
              <w:left w:val="single" w:sz="8" w:space="0" w:color="auto"/>
              <w:bottom w:val="single" w:sz="4" w:space="0" w:color="auto"/>
              <w:right w:val="single" w:sz="4" w:space="0" w:color="auto"/>
            </w:tcBorders>
            <w:shd w:val="clear" w:color="auto" w:fill="auto"/>
            <w:vAlign w:val="center"/>
            <w:hideMark/>
          </w:tcPr>
          <w:p w14:paraId="76D63371" w14:textId="77777777" w:rsidR="00A62E53" w:rsidRPr="00123E5D" w:rsidRDefault="00A62E53" w:rsidP="00123E5D">
            <w:pPr>
              <w:spacing w:after="60" w:line="240" w:lineRule="auto"/>
              <w:rPr>
                <w:rFonts w:eastAsia="Times New Roman" w:cstheme="minorHAnsi"/>
                <w:color w:val="000000"/>
                <w:sz w:val="18"/>
                <w:szCs w:val="18"/>
                <w:lang w:eastAsia="fr-FR"/>
              </w:rPr>
            </w:pPr>
            <w:r w:rsidRPr="00123E5D">
              <w:rPr>
                <w:rFonts w:eastAsia="Times New Roman" w:cstheme="minorHAnsi"/>
                <w:color w:val="000000"/>
                <w:sz w:val="18"/>
                <w:szCs w:val="18"/>
                <w:lang w:eastAsia="fr-FR"/>
              </w:rPr>
              <w:t>Voiliers et autres bateaux de plaisance, planeurs, ailes delta</w:t>
            </w:r>
          </w:p>
        </w:tc>
        <w:tc>
          <w:tcPr>
            <w:tcW w:w="5003" w:type="dxa"/>
            <w:tcBorders>
              <w:top w:val="nil"/>
              <w:left w:val="nil"/>
              <w:bottom w:val="single" w:sz="4" w:space="0" w:color="auto"/>
              <w:right w:val="single" w:sz="8" w:space="0" w:color="auto"/>
            </w:tcBorders>
            <w:shd w:val="clear" w:color="auto" w:fill="auto"/>
            <w:vAlign w:val="center"/>
            <w:hideMark/>
          </w:tcPr>
          <w:p w14:paraId="12806D0A" w14:textId="6C165C55" w:rsidR="00A62E53" w:rsidRPr="00123E5D" w:rsidRDefault="00A62E53" w:rsidP="00123E5D">
            <w:pPr>
              <w:spacing w:after="60" w:line="240" w:lineRule="auto"/>
              <w:rPr>
                <w:rFonts w:eastAsia="Times New Roman" w:cstheme="minorHAnsi"/>
                <w:color w:val="000000"/>
                <w:sz w:val="18"/>
                <w:szCs w:val="18"/>
                <w:lang w:eastAsia="fr-FR"/>
              </w:rPr>
            </w:pPr>
            <w:r w:rsidRPr="00123E5D">
              <w:rPr>
                <w:rFonts w:eastAsia="Times New Roman" w:cstheme="minorHAnsi"/>
                <w:color w:val="000000"/>
                <w:sz w:val="18"/>
                <w:szCs w:val="18"/>
                <w:lang w:eastAsia="fr-FR"/>
              </w:rPr>
              <w:t xml:space="preserve">Taux d’évolution donné par la Fédération des </w:t>
            </w:r>
            <w:r w:rsidR="00B52494" w:rsidRPr="00123E5D">
              <w:rPr>
                <w:rFonts w:eastAsia="Times New Roman" w:cstheme="minorHAnsi"/>
                <w:color w:val="000000"/>
                <w:sz w:val="18"/>
                <w:szCs w:val="18"/>
                <w:lang w:eastAsia="fr-FR"/>
              </w:rPr>
              <w:t>i</w:t>
            </w:r>
            <w:r w:rsidRPr="00123E5D">
              <w:rPr>
                <w:rFonts w:eastAsia="Times New Roman" w:cstheme="minorHAnsi"/>
                <w:color w:val="000000"/>
                <w:sz w:val="18"/>
                <w:szCs w:val="18"/>
                <w:lang w:eastAsia="fr-FR"/>
              </w:rPr>
              <w:t xml:space="preserve">ndustries </w:t>
            </w:r>
            <w:r w:rsidR="00B52494" w:rsidRPr="00123E5D">
              <w:rPr>
                <w:rFonts w:eastAsia="Times New Roman" w:cstheme="minorHAnsi"/>
                <w:color w:val="000000"/>
                <w:sz w:val="18"/>
                <w:szCs w:val="18"/>
                <w:lang w:eastAsia="fr-FR"/>
              </w:rPr>
              <w:t>n</w:t>
            </w:r>
            <w:r w:rsidRPr="00123E5D">
              <w:rPr>
                <w:rFonts w:eastAsia="Times New Roman" w:cstheme="minorHAnsi"/>
                <w:color w:val="000000"/>
                <w:sz w:val="18"/>
                <w:szCs w:val="18"/>
                <w:lang w:eastAsia="fr-FR"/>
              </w:rPr>
              <w:t>autiques</w:t>
            </w:r>
          </w:p>
        </w:tc>
      </w:tr>
      <w:tr w:rsidR="00A62E53" w:rsidRPr="00123E5D" w14:paraId="3C218661" w14:textId="77777777" w:rsidTr="00123E5D">
        <w:trPr>
          <w:trHeight w:val="280"/>
          <w:jc w:val="center"/>
        </w:trPr>
        <w:tc>
          <w:tcPr>
            <w:tcW w:w="4201" w:type="dxa"/>
            <w:tcBorders>
              <w:top w:val="nil"/>
              <w:left w:val="single" w:sz="8" w:space="0" w:color="auto"/>
              <w:bottom w:val="single" w:sz="8" w:space="0" w:color="auto"/>
              <w:right w:val="single" w:sz="4" w:space="0" w:color="auto"/>
            </w:tcBorders>
            <w:shd w:val="clear" w:color="auto" w:fill="auto"/>
            <w:vAlign w:val="center"/>
            <w:hideMark/>
          </w:tcPr>
          <w:p w14:paraId="37A9825C" w14:textId="77777777" w:rsidR="00A62E53" w:rsidRPr="00123E5D" w:rsidRDefault="00A62E53" w:rsidP="00123E5D">
            <w:pPr>
              <w:spacing w:after="60" w:line="240" w:lineRule="auto"/>
              <w:rPr>
                <w:rFonts w:eastAsia="Times New Roman" w:cstheme="minorHAnsi"/>
                <w:color w:val="000000"/>
                <w:sz w:val="18"/>
                <w:szCs w:val="18"/>
                <w:lang w:eastAsia="fr-FR"/>
              </w:rPr>
            </w:pPr>
            <w:r w:rsidRPr="00123E5D">
              <w:rPr>
                <w:rFonts w:eastAsia="Times New Roman" w:cstheme="minorHAnsi"/>
                <w:color w:val="000000"/>
                <w:sz w:val="18"/>
                <w:szCs w:val="18"/>
                <w:lang w:eastAsia="fr-FR"/>
              </w:rPr>
              <w:t>Planeurs et autres aéronefs</w:t>
            </w:r>
          </w:p>
        </w:tc>
        <w:tc>
          <w:tcPr>
            <w:tcW w:w="5003" w:type="dxa"/>
            <w:tcBorders>
              <w:top w:val="nil"/>
              <w:left w:val="nil"/>
              <w:bottom w:val="single" w:sz="8" w:space="0" w:color="auto"/>
              <w:right w:val="single" w:sz="8" w:space="0" w:color="auto"/>
            </w:tcBorders>
            <w:shd w:val="clear" w:color="auto" w:fill="auto"/>
            <w:noWrap/>
            <w:vAlign w:val="center"/>
            <w:hideMark/>
          </w:tcPr>
          <w:p w14:paraId="7CFAC9ED" w14:textId="77777777" w:rsidR="00A62E53" w:rsidRPr="00123E5D" w:rsidRDefault="00A62E53" w:rsidP="00123E5D">
            <w:pPr>
              <w:spacing w:after="60" w:line="240" w:lineRule="auto"/>
              <w:rPr>
                <w:rFonts w:eastAsia="Times New Roman" w:cstheme="minorHAnsi"/>
                <w:color w:val="000000"/>
                <w:sz w:val="18"/>
                <w:szCs w:val="18"/>
                <w:lang w:eastAsia="fr-FR"/>
              </w:rPr>
            </w:pPr>
            <w:r w:rsidRPr="00123E5D">
              <w:rPr>
                <w:rFonts w:eastAsia="Times New Roman" w:cstheme="minorHAnsi"/>
                <w:color w:val="000000"/>
                <w:sz w:val="18"/>
                <w:szCs w:val="18"/>
                <w:lang w:eastAsia="fr-FR"/>
              </w:rPr>
              <w:t>INSEE</w:t>
            </w:r>
          </w:p>
        </w:tc>
      </w:tr>
      <w:tr w:rsidR="00A62E53" w:rsidRPr="00123E5D" w14:paraId="7BEFDA58" w14:textId="77777777" w:rsidTr="00123E5D">
        <w:trPr>
          <w:trHeight w:val="280"/>
          <w:jc w:val="center"/>
        </w:trPr>
        <w:tc>
          <w:tcPr>
            <w:tcW w:w="4201" w:type="dxa"/>
            <w:tcBorders>
              <w:top w:val="nil"/>
              <w:left w:val="single" w:sz="8" w:space="0" w:color="auto"/>
              <w:bottom w:val="nil"/>
              <w:right w:val="nil"/>
            </w:tcBorders>
            <w:shd w:val="clear" w:color="000000" w:fill="D9D9D9"/>
            <w:vAlign w:val="center"/>
            <w:hideMark/>
          </w:tcPr>
          <w:p w14:paraId="6D2D05B0" w14:textId="77777777" w:rsidR="00A62E53" w:rsidRPr="00123E5D" w:rsidRDefault="00A62E53" w:rsidP="00123E5D">
            <w:pPr>
              <w:spacing w:after="60" w:line="240" w:lineRule="auto"/>
              <w:jc w:val="center"/>
              <w:rPr>
                <w:rFonts w:eastAsia="Times New Roman" w:cstheme="minorHAnsi"/>
                <w:b/>
                <w:bCs/>
                <w:color w:val="000000"/>
                <w:sz w:val="18"/>
                <w:szCs w:val="18"/>
                <w:lang w:eastAsia="fr-FR"/>
              </w:rPr>
            </w:pPr>
            <w:r w:rsidRPr="00123E5D">
              <w:rPr>
                <w:rFonts w:eastAsia="Times New Roman" w:cstheme="minorHAnsi"/>
                <w:b/>
                <w:bCs/>
                <w:color w:val="000000"/>
                <w:sz w:val="18"/>
                <w:szCs w:val="18"/>
                <w:lang w:eastAsia="fr-FR"/>
              </w:rPr>
              <w:t>SERVICES SPORTIFS</w:t>
            </w:r>
          </w:p>
        </w:tc>
        <w:tc>
          <w:tcPr>
            <w:tcW w:w="5003" w:type="dxa"/>
            <w:tcBorders>
              <w:top w:val="nil"/>
              <w:left w:val="single" w:sz="4" w:space="0" w:color="auto"/>
              <w:bottom w:val="single" w:sz="8" w:space="0" w:color="auto"/>
              <w:right w:val="single" w:sz="8" w:space="0" w:color="auto"/>
            </w:tcBorders>
            <w:shd w:val="clear" w:color="000000" w:fill="D9D9D9"/>
            <w:vAlign w:val="center"/>
            <w:hideMark/>
          </w:tcPr>
          <w:p w14:paraId="73401198" w14:textId="77777777" w:rsidR="00A62E53" w:rsidRPr="00123E5D" w:rsidRDefault="00A62E53" w:rsidP="00123E5D">
            <w:pPr>
              <w:spacing w:after="60" w:line="240" w:lineRule="auto"/>
              <w:jc w:val="center"/>
              <w:rPr>
                <w:rFonts w:eastAsia="Times New Roman" w:cstheme="minorHAnsi"/>
                <w:b/>
                <w:bCs/>
                <w:color w:val="000000"/>
                <w:sz w:val="18"/>
                <w:szCs w:val="18"/>
                <w:lang w:eastAsia="fr-FR"/>
              </w:rPr>
            </w:pPr>
            <w:r w:rsidRPr="00123E5D">
              <w:rPr>
                <w:rFonts w:eastAsia="Times New Roman" w:cstheme="minorHAnsi"/>
                <w:b/>
                <w:bCs/>
                <w:color w:val="000000"/>
                <w:sz w:val="18"/>
                <w:szCs w:val="18"/>
                <w:lang w:eastAsia="fr-FR"/>
              </w:rPr>
              <w:t>SOURCE</w:t>
            </w:r>
          </w:p>
        </w:tc>
      </w:tr>
      <w:tr w:rsidR="00A62E53" w:rsidRPr="00123E5D" w14:paraId="3061A4E9" w14:textId="77777777" w:rsidTr="00123E5D">
        <w:trPr>
          <w:trHeight w:val="860"/>
          <w:jc w:val="center"/>
        </w:trPr>
        <w:tc>
          <w:tcPr>
            <w:tcW w:w="42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B9851FD" w14:textId="77777777" w:rsidR="00A62E53" w:rsidRPr="00123E5D" w:rsidRDefault="00A62E53" w:rsidP="00123E5D">
            <w:pPr>
              <w:spacing w:after="60" w:line="240" w:lineRule="auto"/>
              <w:rPr>
                <w:rFonts w:eastAsia="Times New Roman" w:cstheme="minorHAnsi"/>
                <w:color w:val="000000"/>
                <w:sz w:val="18"/>
                <w:szCs w:val="18"/>
                <w:lang w:eastAsia="fr-FR"/>
              </w:rPr>
            </w:pPr>
            <w:r w:rsidRPr="00123E5D">
              <w:rPr>
                <w:rFonts w:eastAsia="Times New Roman" w:cstheme="minorHAnsi"/>
                <w:color w:val="000000"/>
                <w:sz w:val="18"/>
                <w:szCs w:val="18"/>
                <w:lang w:eastAsia="fr-FR"/>
              </w:rPr>
              <w:t>Activités marchandes liées au sport (clubs sportifs professionnels, centres de fitness, organisateurs d'événements sportifs)</w:t>
            </w:r>
          </w:p>
        </w:tc>
        <w:tc>
          <w:tcPr>
            <w:tcW w:w="5003" w:type="dxa"/>
            <w:tcBorders>
              <w:top w:val="nil"/>
              <w:left w:val="nil"/>
              <w:bottom w:val="single" w:sz="4" w:space="0" w:color="auto"/>
              <w:right w:val="single" w:sz="8" w:space="0" w:color="auto"/>
            </w:tcBorders>
            <w:shd w:val="clear" w:color="auto" w:fill="auto"/>
            <w:noWrap/>
            <w:vAlign w:val="center"/>
            <w:hideMark/>
          </w:tcPr>
          <w:p w14:paraId="5D8E1FAA" w14:textId="77777777" w:rsidR="00A62E53" w:rsidRPr="00123E5D" w:rsidRDefault="00A62E53" w:rsidP="00123E5D">
            <w:pPr>
              <w:spacing w:after="60" w:line="240" w:lineRule="auto"/>
              <w:rPr>
                <w:rFonts w:eastAsia="Times New Roman" w:cstheme="minorHAnsi"/>
                <w:color w:val="000000"/>
                <w:sz w:val="18"/>
                <w:szCs w:val="18"/>
                <w:lang w:eastAsia="fr-FR"/>
              </w:rPr>
            </w:pPr>
            <w:r w:rsidRPr="00123E5D">
              <w:rPr>
                <w:rFonts w:eastAsia="Times New Roman" w:cstheme="minorHAnsi"/>
                <w:color w:val="000000"/>
                <w:sz w:val="18"/>
                <w:szCs w:val="18"/>
                <w:lang w:eastAsia="fr-FR"/>
              </w:rPr>
              <w:t>INSEE</w:t>
            </w:r>
          </w:p>
        </w:tc>
      </w:tr>
      <w:tr w:rsidR="00A62E53" w:rsidRPr="00123E5D" w14:paraId="47C78B51" w14:textId="77777777" w:rsidTr="00123E5D">
        <w:trPr>
          <w:trHeight w:val="517"/>
          <w:jc w:val="center"/>
        </w:trPr>
        <w:tc>
          <w:tcPr>
            <w:tcW w:w="4201" w:type="dxa"/>
            <w:tcBorders>
              <w:top w:val="nil"/>
              <w:left w:val="single" w:sz="8" w:space="0" w:color="auto"/>
              <w:bottom w:val="single" w:sz="4" w:space="0" w:color="auto"/>
              <w:right w:val="single" w:sz="4" w:space="0" w:color="auto"/>
            </w:tcBorders>
            <w:shd w:val="clear" w:color="auto" w:fill="auto"/>
            <w:vAlign w:val="center"/>
            <w:hideMark/>
          </w:tcPr>
          <w:p w14:paraId="2D00448E" w14:textId="77777777" w:rsidR="00A62E53" w:rsidRPr="00123E5D" w:rsidRDefault="00A62E53" w:rsidP="00123E5D">
            <w:pPr>
              <w:spacing w:after="60" w:line="240" w:lineRule="auto"/>
              <w:rPr>
                <w:rFonts w:eastAsia="Times New Roman" w:cstheme="minorHAnsi"/>
                <w:color w:val="000000"/>
                <w:sz w:val="18"/>
                <w:szCs w:val="18"/>
                <w:lang w:eastAsia="fr-FR"/>
              </w:rPr>
            </w:pPr>
            <w:r w:rsidRPr="00123E5D">
              <w:rPr>
                <w:rFonts w:eastAsia="Times New Roman" w:cstheme="minorHAnsi"/>
                <w:color w:val="000000"/>
                <w:sz w:val="18"/>
                <w:szCs w:val="18"/>
                <w:lang w:eastAsia="fr-FR"/>
              </w:rPr>
              <w:t>Cotisations des ménages aux associations sportives non marchandes</w:t>
            </w:r>
          </w:p>
        </w:tc>
        <w:tc>
          <w:tcPr>
            <w:tcW w:w="5003" w:type="dxa"/>
            <w:tcBorders>
              <w:top w:val="nil"/>
              <w:left w:val="nil"/>
              <w:bottom w:val="single" w:sz="4" w:space="0" w:color="auto"/>
              <w:right w:val="single" w:sz="8" w:space="0" w:color="auto"/>
            </w:tcBorders>
            <w:shd w:val="clear" w:color="auto" w:fill="auto"/>
            <w:noWrap/>
            <w:vAlign w:val="center"/>
            <w:hideMark/>
          </w:tcPr>
          <w:p w14:paraId="7E52C11E" w14:textId="77777777" w:rsidR="00A62E53" w:rsidRPr="00123E5D" w:rsidRDefault="00A62E53" w:rsidP="00123E5D">
            <w:pPr>
              <w:spacing w:after="60" w:line="240" w:lineRule="auto"/>
              <w:rPr>
                <w:rFonts w:eastAsia="Times New Roman" w:cstheme="minorHAnsi"/>
                <w:color w:val="000000"/>
                <w:sz w:val="18"/>
                <w:szCs w:val="18"/>
                <w:lang w:eastAsia="fr-FR"/>
              </w:rPr>
            </w:pPr>
            <w:r w:rsidRPr="00123E5D">
              <w:rPr>
                <w:rFonts w:eastAsia="Times New Roman" w:cstheme="minorHAnsi"/>
                <w:color w:val="000000"/>
                <w:sz w:val="18"/>
                <w:szCs w:val="18"/>
                <w:lang w:eastAsia="fr-FR"/>
              </w:rPr>
              <w:t>INSEE</w:t>
            </w:r>
          </w:p>
        </w:tc>
      </w:tr>
      <w:tr w:rsidR="00A62E53" w:rsidRPr="00123E5D" w14:paraId="1BF5D495" w14:textId="77777777" w:rsidTr="00123E5D">
        <w:trPr>
          <w:trHeight w:val="602"/>
          <w:jc w:val="center"/>
        </w:trPr>
        <w:tc>
          <w:tcPr>
            <w:tcW w:w="4201" w:type="dxa"/>
            <w:tcBorders>
              <w:top w:val="nil"/>
              <w:left w:val="single" w:sz="8" w:space="0" w:color="auto"/>
              <w:bottom w:val="single" w:sz="4" w:space="0" w:color="auto"/>
              <w:right w:val="single" w:sz="4" w:space="0" w:color="auto"/>
            </w:tcBorders>
            <w:shd w:val="clear" w:color="auto" w:fill="auto"/>
            <w:vAlign w:val="center"/>
            <w:hideMark/>
          </w:tcPr>
          <w:p w14:paraId="4D388029" w14:textId="77777777" w:rsidR="00A62E53" w:rsidRPr="00123E5D" w:rsidRDefault="00A62E53" w:rsidP="00123E5D">
            <w:pPr>
              <w:spacing w:after="60" w:line="240" w:lineRule="auto"/>
              <w:rPr>
                <w:rFonts w:eastAsia="Times New Roman" w:cstheme="minorHAnsi"/>
                <w:color w:val="000000"/>
                <w:sz w:val="18"/>
                <w:szCs w:val="18"/>
                <w:lang w:eastAsia="fr-FR"/>
              </w:rPr>
            </w:pPr>
            <w:r w:rsidRPr="00123E5D">
              <w:rPr>
                <w:rFonts w:eastAsia="Times New Roman" w:cstheme="minorHAnsi"/>
                <w:color w:val="000000"/>
                <w:sz w:val="18"/>
                <w:szCs w:val="18"/>
                <w:lang w:eastAsia="fr-FR"/>
              </w:rPr>
              <w:t>Enseignement sportif (moniteurs de ski et autres professeurs sportifs indépendants)</w:t>
            </w:r>
          </w:p>
        </w:tc>
        <w:tc>
          <w:tcPr>
            <w:tcW w:w="5003" w:type="dxa"/>
            <w:tcBorders>
              <w:top w:val="nil"/>
              <w:left w:val="nil"/>
              <w:bottom w:val="single" w:sz="4" w:space="0" w:color="auto"/>
              <w:right w:val="single" w:sz="8" w:space="0" w:color="auto"/>
            </w:tcBorders>
            <w:shd w:val="clear" w:color="auto" w:fill="auto"/>
            <w:noWrap/>
            <w:vAlign w:val="center"/>
            <w:hideMark/>
          </w:tcPr>
          <w:p w14:paraId="0B9987A7" w14:textId="77777777" w:rsidR="00A62E53" w:rsidRPr="00123E5D" w:rsidRDefault="00A62E53" w:rsidP="00123E5D">
            <w:pPr>
              <w:spacing w:after="60" w:line="240" w:lineRule="auto"/>
              <w:rPr>
                <w:rFonts w:eastAsia="Times New Roman" w:cstheme="minorHAnsi"/>
                <w:color w:val="000000"/>
                <w:sz w:val="18"/>
                <w:szCs w:val="18"/>
                <w:lang w:eastAsia="fr-FR"/>
              </w:rPr>
            </w:pPr>
            <w:r w:rsidRPr="00123E5D">
              <w:rPr>
                <w:rFonts w:eastAsia="Times New Roman" w:cstheme="minorHAnsi"/>
                <w:color w:val="000000"/>
                <w:sz w:val="18"/>
                <w:szCs w:val="18"/>
                <w:lang w:eastAsia="fr-FR"/>
              </w:rPr>
              <w:t>INSEE</w:t>
            </w:r>
          </w:p>
        </w:tc>
      </w:tr>
      <w:tr w:rsidR="00A62E53" w:rsidRPr="00123E5D" w14:paraId="44E68718" w14:textId="77777777" w:rsidTr="00123E5D">
        <w:trPr>
          <w:trHeight w:val="530"/>
          <w:jc w:val="center"/>
        </w:trPr>
        <w:tc>
          <w:tcPr>
            <w:tcW w:w="4201" w:type="dxa"/>
            <w:tcBorders>
              <w:top w:val="nil"/>
              <w:left w:val="single" w:sz="8" w:space="0" w:color="auto"/>
              <w:bottom w:val="single" w:sz="4" w:space="0" w:color="auto"/>
              <w:right w:val="single" w:sz="4" w:space="0" w:color="auto"/>
            </w:tcBorders>
            <w:shd w:val="clear" w:color="auto" w:fill="auto"/>
            <w:vAlign w:val="center"/>
            <w:hideMark/>
          </w:tcPr>
          <w:p w14:paraId="40E91379" w14:textId="77777777" w:rsidR="00A62E53" w:rsidRPr="00123E5D" w:rsidRDefault="00A62E53" w:rsidP="00123E5D">
            <w:pPr>
              <w:spacing w:after="60" w:line="240" w:lineRule="auto"/>
              <w:rPr>
                <w:rFonts w:eastAsia="Times New Roman" w:cstheme="minorHAnsi"/>
                <w:color w:val="000000"/>
                <w:sz w:val="18"/>
                <w:szCs w:val="18"/>
                <w:lang w:eastAsia="fr-FR"/>
              </w:rPr>
            </w:pPr>
            <w:r w:rsidRPr="00123E5D">
              <w:rPr>
                <w:rFonts w:eastAsia="Times New Roman" w:cstheme="minorHAnsi"/>
                <w:color w:val="000000"/>
                <w:sz w:val="18"/>
                <w:szCs w:val="18"/>
                <w:lang w:eastAsia="fr-FR"/>
              </w:rPr>
              <w:t>Remontées mécaniques des stations de sport d'hiver</w:t>
            </w:r>
          </w:p>
        </w:tc>
        <w:tc>
          <w:tcPr>
            <w:tcW w:w="5003" w:type="dxa"/>
            <w:tcBorders>
              <w:top w:val="nil"/>
              <w:left w:val="nil"/>
              <w:bottom w:val="single" w:sz="4" w:space="0" w:color="auto"/>
              <w:right w:val="single" w:sz="8" w:space="0" w:color="auto"/>
            </w:tcBorders>
            <w:shd w:val="clear" w:color="auto" w:fill="auto"/>
            <w:noWrap/>
            <w:vAlign w:val="center"/>
            <w:hideMark/>
          </w:tcPr>
          <w:p w14:paraId="489CDD67" w14:textId="77777777" w:rsidR="00A62E53" w:rsidRPr="00123E5D" w:rsidRDefault="00A62E53" w:rsidP="00123E5D">
            <w:pPr>
              <w:spacing w:after="60" w:line="240" w:lineRule="auto"/>
              <w:rPr>
                <w:rFonts w:eastAsia="Times New Roman" w:cstheme="minorHAnsi"/>
                <w:color w:val="000000"/>
                <w:sz w:val="18"/>
                <w:szCs w:val="18"/>
                <w:lang w:eastAsia="fr-FR"/>
              </w:rPr>
            </w:pPr>
            <w:r w:rsidRPr="00123E5D">
              <w:rPr>
                <w:rFonts w:eastAsia="Times New Roman" w:cstheme="minorHAnsi"/>
                <w:color w:val="000000"/>
                <w:sz w:val="18"/>
                <w:szCs w:val="18"/>
                <w:lang w:eastAsia="fr-FR"/>
              </w:rPr>
              <w:t>INSEE</w:t>
            </w:r>
          </w:p>
        </w:tc>
      </w:tr>
      <w:tr w:rsidR="00A62E53" w:rsidRPr="00123E5D" w14:paraId="09ECF8AE" w14:textId="77777777" w:rsidTr="00123E5D">
        <w:trPr>
          <w:trHeight w:val="265"/>
          <w:jc w:val="center"/>
        </w:trPr>
        <w:tc>
          <w:tcPr>
            <w:tcW w:w="4201" w:type="dxa"/>
            <w:tcBorders>
              <w:top w:val="nil"/>
              <w:left w:val="single" w:sz="8" w:space="0" w:color="auto"/>
              <w:bottom w:val="single" w:sz="4" w:space="0" w:color="auto"/>
              <w:right w:val="single" w:sz="4" w:space="0" w:color="auto"/>
            </w:tcBorders>
            <w:shd w:val="clear" w:color="auto" w:fill="auto"/>
            <w:vAlign w:val="center"/>
            <w:hideMark/>
          </w:tcPr>
          <w:p w14:paraId="5AD972EB" w14:textId="77777777" w:rsidR="00A62E53" w:rsidRPr="00123E5D" w:rsidRDefault="00A62E53" w:rsidP="00123E5D">
            <w:pPr>
              <w:spacing w:after="60" w:line="240" w:lineRule="auto"/>
              <w:rPr>
                <w:rFonts w:eastAsia="Times New Roman" w:cstheme="minorHAnsi"/>
                <w:color w:val="000000"/>
                <w:sz w:val="18"/>
                <w:szCs w:val="18"/>
                <w:lang w:eastAsia="fr-FR"/>
              </w:rPr>
            </w:pPr>
            <w:r w:rsidRPr="00123E5D">
              <w:rPr>
                <w:rFonts w:eastAsia="Times New Roman" w:cstheme="minorHAnsi"/>
                <w:color w:val="000000"/>
                <w:sz w:val="18"/>
                <w:szCs w:val="18"/>
                <w:lang w:eastAsia="fr-FR"/>
              </w:rPr>
              <w:t>Location d'articles de sport</w:t>
            </w:r>
          </w:p>
        </w:tc>
        <w:tc>
          <w:tcPr>
            <w:tcW w:w="5003" w:type="dxa"/>
            <w:tcBorders>
              <w:top w:val="nil"/>
              <w:left w:val="nil"/>
              <w:bottom w:val="single" w:sz="4" w:space="0" w:color="auto"/>
              <w:right w:val="single" w:sz="8" w:space="0" w:color="auto"/>
            </w:tcBorders>
            <w:shd w:val="clear" w:color="auto" w:fill="auto"/>
            <w:noWrap/>
            <w:vAlign w:val="center"/>
            <w:hideMark/>
          </w:tcPr>
          <w:p w14:paraId="631A7AFC" w14:textId="77777777" w:rsidR="00A62E53" w:rsidRPr="00123E5D" w:rsidRDefault="00A62E53" w:rsidP="00123E5D">
            <w:pPr>
              <w:spacing w:after="60" w:line="240" w:lineRule="auto"/>
              <w:rPr>
                <w:rFonts w:eastAsia="Times New Roman" w:cstheme="minorHAnsi"/>
                <w:color w:val="000000"/>
                <w:sz w:val="18"/>
                <w:szCs w:val="18"/>
                <w:lang w:eastAsia="fr-FR"/>
              </w:rPr>
            </w:pPr>
            <w:r w:rsidRPr="00123E5D">
              <w:rPr>
                <w:rFonts w:eastAsia="Times New Roman" w:cstheme="minorHAnsi"/>
                <w:color w:val="000000"/>
                <w:sz w:val="18"/>
                <w:szCs w:val="18"/>
                <w:lang w:eastAsia="fr-FR"/>
              </w:rPr>
              <w:t>INSEE</w:t>
            </w:r>
          </w:p>
        </w:tc>
      </w:tr>
      <w:tr w:rsidR="00A62E53" w:rsidRPr="00123E5D" w14:paraId="2E6319AE" w14:textId="77777777" w:rsidTr="00123E5D">
        <w:trPr>
          <w:trHeight w:val="113"/>
          <w:jc w:val="center"/>
        </w:trPr>
        <w:tc>
          <w:tcPr>
            <w:tcW w:w="4201" w:type="dxa"/>
            <w:tcBorders>
              <w:top w:val="nil"/>
              <w:left w:val="single" w:sz="8" w:space="0" w:color="auto"/>
              <w:bottom w:val="single" w:sz="8" w:space="0" w:color="auto"/>
              <w:right w:val="single" w:sz="4" w:space="0" w:color="auto"/>
            </w:tcBorders>
            <w:shd w:val="clear" w:color="auto" w:fill="auto"/>
            <w:vAlign w:val="center"/>
            <w:hideMark/>
          </w:tcPr>
          <w:p w14:paraId="630CEA99" w14:textId="061801E3" w:rsidR="00A62E53" w:rsidRPr="00123E5D" w:rsidRDefault="00A62E53" w:rsidP="00123E5D">
            <w:pPr>
              <w:spacing w:after="60" w:line="240" w:lineRule="auto"/>
              <w:rPr>
                <w:rFonts w:eastAsia="Times New Roman" w:cstheme="minorHAnsi"/>
                <w:color w:val="000000"/>
                <w:sz w:val="18"/>
                <w:szCs w:val="18"/>
                <w:lang w:eastAsia="fr-FR"/>
              </w:rPr>
            </w:pPr>
            <w:r w:rsidRPr="00123E5D">
              <w:rPr>
                <w:rFonts w:eastAsia="Times New Roman" w:cstheme="minorHAnsi"/>
                <w:color w:val="000000"/>
                <w:sz w:val="18"/>
                <w:szCs w:val="18"/>
                <w:lang w:eastAsia="fr-FR"/>
              </w:rPr>
              <w:t>Billetterie pour les év</w:t>
            </w:r>
            <w:r w:rsidR="00624473">
              <w:rPr>
                <w:rFonts w:eastAsia="Times New Roman" w:cstheme="minorHAnsi"/>
                <w:color w:val="000000"/>
                <w:sz w:val="18"/>
                <w:szCs w:val="18"/>
                <w:lang w:eastAsia="fr-FR"/>
              </w:rPr>
              <w:t>é</w:t>
            </w:r>
            <w:r w:rsidRPr="00123E5D">
              <w:rPr>
                <w:rFonts w:eastAsia="Times New Roman" w:cstheme="minorHAnsi"/>
                <w:color w:val="000000"/>
                <w:sz w:val="18"/>
                <w:szCs w:val="18"/>
                <w:lang w:eastAsia="fr-FR"/>
              </w:rPr>
              <w:t>nements sportifs</w:t>
            </w:r>
          </w:p>
        </w:tc>
        <w:tc>
          <w:tcPr>
            <w:tcW w:w="5003" w:type="dxa"/>
            <w:tcBorders>
              <w:top w:val="nil"/>
              <w:left w:val="nil"/>
              <w:bottom w:val="single" w:sz="8" w:space="0" w:color="auto"/>
              <w:right w:val="single" w:sz="8" w:space="0" w:color="auto"/>
            </w:tcBorders>
            <w:shd w:val="clear" w:color="auto" w:fill="auto"/>
            <w:noWrap/>
            <w:vAlign w:val="center"/>
            <w:hideMark/>
          </w:tcPr>
          <w:p w14:paraId="0190E30D" w14:textId="77777777" w:rsidR="00A62E53" w:rsidRPr="00123E5D" w:rsidRDefault="00A62E53" w:rsidP="00123E5D">
            <w:pPr>
              <w:keepNext/>
              <w:spacing w:after="60" w:line="240" w:lineRule="auto"/>
              <w:rPr>
                <w:rFonts w:eastAsia="Times New Roman" w:cstheme="minorHAnsi"/>
                <w:color w:val="000000"/>
                <w:sz w:val="18"/>
                <w:szCs w:val="18"/>
                <w:lang w:eastAsia="fr-FR"/>
              </w:rPr>
            </w:pPr>
            <w:r w:rsidRPr="00123E5D">
              <w:rPr>
                <w:rFonts w:eastAsia="Times New Roman" w:cstheme="minorHAnsi"/>
                <w:color w:val="000000"/>
                <w:sz w:val="18"/>
                <w:szCs w:val="18"/>
                <w:lang w:eastAsia="fr-FR"/>
              </w:rPr>
              <w:t>INSEE</w:t>
            </w:r>
          </w:p>
        </w:tc>
      </w:tr>
    </w:tbl>
    <w:p w14:paraId="7CADD716" w14:textId="2662DDB4" w:rsidR="00147B0A" w:rsidRPr="00123E5D" w:rsidRDefault="00DD3C14" w:rsidP="00123E5D">
      <w:pPr>
        <w:rPr>
          <w:szCs w:val="20"/>
        </w:rPr>
      </w:pPr>
      <w:r w:rsidRPr="00123E5D">
        <w:rPr>
          <w:szCs w:val="20"/>
        </w:rPr>
        <w:lastRenderedPageBreak/>
        <w:t>D</w:t>
      </w:r>
      <w:r w:rsidR="00147B0A" w:rsidRPr="00123E5D">
        <w:rPr>
          <w:szCs w:val="20"/>
        </w:rPr>
        <w:t>es améliorations sont apportée</w:t>
      </w:r>
      <w:r w:rsidR="008547C1" w:rsidRPr="00123E5D">
        <w:rPr>
          <w:szCs w:val="20"/>
        </w:rPr>
        <w:t>s</w:t>
      </w:r>
      <w:r w:rsidR="00154F40" w:rsidRPr="00123E5D">
        <w:rPr>
          <w:szCs w:val="20"/>
        </w:rPr>
        <w:t xml:space="preserve"> lors de l’estimation </w:t>
      </w:r>
      <w:r w:rsidR="00147B0A" w:rsidRPr="00123E5D">
        <w:rPr>
          <w:szCs w:val="20"/>
        </w:rPr>
        <w:t>du poids économique du sport</w:t>
      </w:r>
      <w:r w:rsidR="00154F40" w:rsidRPr="00123E5D">
        <w:rPr>
          <w:szCs w:val="20"/>
        </w:rPr>
        <w:t xml:space="preserve"> portant sur l’année 2022</w:t>
      </w:r>
      <w:r w:rsidR="00147B0A" w:rsidRPr="00123E5D">
        <w:rPr>
          <w:szCs w:val="20"/>
        </w:rPr>
        <w:t>, d</w:t>
      </w:r>
      <w:r w:rsidRPr="00123E5D">
        <w:rPr>
          <w:szCs w:val="20"/>
        </w:rPr>
        <w:t>u fait du passage en base 2020 de la comptabilité nationale</w:t>
      </w:r>
      <w:r w:rsidR="00B83885" w:rsidRPr="00123E5D">
        <w:rPr>
          <w:rStyle w:val="Appelnotedebasdep"/>
          <w:rFonts w:cstheme="minorHAnsi"/>
          <w:szCs w:val="20"/>
        </w:rPr>
        <w:footnoteReference w:id="3"/>
      </w:r>
      <w:r w:rsidR="008547C1" w:rsidRPr="00123E5D">
        <w:rPr>
          <w:szCs w:val="20"/>
        </w:rPr>
        <w:t>.</w:t>
      </w:r>
      <w:r w:rsidRPr="00123E5D">
        <w:rPr>
          <w:szCs w:val="20"/>
        </w:rPr>
        <w:t xml:space="preserve"> </w:t>
      </w:r>
      <w:r w:rsidR="008547C1" w:rsidRPr="00123E5D">
        <w:rPr>
          <w:szCs w:val="20"/>
        </w:rPr>
        <w:t>L</w:t>
      </w:r>
      <w:r w:rsidRPr="00123E5D">
        <w:rPr>
          <w:szCs w:val="20"/>
        </w:rPr>
        <w:t>e poste des bicyclettes a été réévalué à la hausse par l’I</w:t>
      </w:r>
      <w:r w:rsidR="0096539E" w:rsidRPr="00123E5D">
        <w:rPr>
          <w:szCs w:val="20"/>
        </w:rPr>
        <w:t>NSEE</w:t>
      </w:r>
      <w:r w:rsidRPr="00123E5D">
        <w:rPr>
          <w:szCs w:val="20"/>
        </w:rPr>
        <w:t xml:space="preserve"> </w:t>
      </w:r>
      <w:r w:rsidR="00014E8A">
        <w:rPr>
          <w:szCs w:val="20"/>
        </w:rPr>
        <w:t>du fait de l'intégration</w:t>
      </w:r>
      <w:r w:rsidR="00014E8A" w:rsidRPr="00123E5D">
        <w:rPr>
          <w:szCs w:val="20"/>
        </w:rPr>
        <w:t xml:space="preserve"> </w:t>
      </w:r>
      <w:r w:rsidRPr="00123E5D">
        <w:rPr>
          <w:szCs w:val="20"/>
        </w:rPr>
        <w:t xml:space="preserve">de nouvelles </w:t>
      </w:r>
      <w:r w:rsidR="00014E8A">
        <w:rPr>
          <w:szCs w:val="20"/>
        </w:rPr>
        <w:t xml:space="preserve">sources de données </w:t>
      </w:r>
      <w:r w:rsidR="002A5F2E" w:rsidRPr="00123E5D">
        <w:rPr>
          <w:szCs w:val="20"/>
        </w:rPr>
        <w:t>(</w:t>
      </w:r>
      <w:r w:rsidRPr="00123E5D">
        <w:rPr>
          <w:szCs w:val="20"/>
        </w:rPr>
        <w:t xml:space="preserve">en lien avec des données de l’Union Sport Cycle – USC). En effet l’ancien produit </w:t>
      </w:r>
      <w:r w:rsidR="008547C1" w:rsidRPr="00123E5D">
        <w:rPr>
          <w:szCs w:val="20"/>
        </w:rPr>
        <w:t>(</w:t>
      </w:r>
      <w:r w:rsidRPr="00123E5D">
        <w:rPr>
          <w:szCs w:val="20"/>
        </w:rPr>
        <w:t>HC30E0B en base 2014</w:t>
      </w:r>
      <w:r w:rsidR="008547C1" w:rsidRPr="00123E5D">
        <w:rPr>
          <w:szCs w:val="20"/>
        </w:rPr>
        <w:t>)</w:t>
      </w:r>
      <w:r w:rsidRPr="00123E5D">
        <w:rPr>
          <w:szCs w:val="20"/>
        </w:rPr>
        <w:t xml:space="preserve">, </w:t>
      </w:r>
      <w:r w:rsidR="00147B0A" w:rsidRPr="00123E5D">
        <w:rPr>
          <w:szCs w:val="20"/>
        </w:rPr>
        <w:t>a été scindé en trois</w:t>
      </w:r>
      <w:r w:rsidRPr="00123E5D">
        <w:rPr>
          <w:szCs w:val="20"/>
        </w:rPr>
        <w:t xml:space="preserve"> produits</w:t>
      </w:r>
      <w:r w:rsidR="00147B0A" w:rsidRPr="00123E5D">
        <w:rPr>
          <w:szCs w:val="20"/>
        </w:rPr>
        <w:t xml:space="preserve"> </w:t>
      </w:r>
      <w:r w:rsidR="00154F40" w:rsidRPr="00123E5D">
        <w:rPr>
          <w:szCs w:val="20"/>
        </w:rPr>
        <w:t xml:space="preserve">nouveaux </w:t>
      </w:r>
      <w:r w:rsidR="00147B0A" w:rsidRPr="00123E5D">
        <w:rPr>
          <w:szCs w:val="20"/>
        </w:rPr>
        <w:t>permettant d’isoler d’une part les vélos électriques, d’autre part les vélos non électriques et enfin les autres engins électriques</w:t>
      </w:r>
      <w:r w:rsidR="00E94AF0" w:rsidRPr="00123E5D">
        <w:rPr>
          <w:szCs w:val="20"/>
        </w:rPr>
        <w:t xml:space="preserve">. </w:t>
      </w:r>
      <w:r w:rsidR="00147B0A" w:rsidRPr="00123E5D">
        <w:rPr>
          <w:szCs w:val="20"/>
        </w:rPr>
        <w:t>Ces trois produits</w:t>
      </w:r>
      <w:r w:rsidR="000C016E" w:rsidRPr="00123E5D">
        <w:rPr>
          <w:szCs w:val="20"/>
        </w:rPr>
        <w:t>, tous</w:t>
      </w:r>
      <w:r w:rsidR="00147B0A" w:rsidRPr="00123E5D">
        <w:rPr>
          <w:szCs w:val="20"/>
        </w:rPr>
        <w:t xml:space="preserve"> </w:t>
      </w:r>
      <w:r w:rsidR="003D1675" w:rsidRPr="00123E5D">
        <w:rPr>
          <w:szCs w:val="20"/>
        </w:rPr>
        <w:t>inclus</w:t>
      </w:r>
      <w:r w:rsidR="00147B0A" w:rsidRPr="00123E5D">
        <w:rPr>
          <w:szCs w:val="20"/>
        </w:rPr>
        <w:t xml:space="preserve"> </w:t>
      </w:r>
      <w:r w:rsidR="008547C1" w:rsidRPr="00123E5D">
        <w:rPr>
          <w:szCs w:val="20"/>
        </w:rPr>
        <w:t>dans</w:t>
      </w:r>
      <w:r w:rsidR="00147B0A" w:rsidRPr="00123E5D">
        <w:rPr>
          <w:szCs w:val="20"/>
        </w:rPr>
        <w:t xml:space="preserve"> le calcul du poste « bicyclettes »</w:t>
      </w:r>
      <w:r w:rsidR="000C016E" w:rsidRPr="00123E5D">
        <w:rPr>
          <w:szCs w:val="20"/>
        </w:rPr>
        <w:t>, offre</w:t>
      </w:r>
      <w:r w:rsidR="008547C1" w:rsidRPr="00123E5D">
        <w:rPr>
          <w:szCs w:val="20"/>
        </w:rPr>
        <w:t>nt une</w:t>
      </w:r>
      <w:r w:rsidR="00E94AF0" w:rsidRPr="00123E5D">
        <w:rPr>
          <w:szCs w:val="20"/>
        </w:rPr>
        <w:t xml:space="preserve"> </w:t>
      </w:r>
      <w:r w:rsidR="008547C1" w:rsidRPr="00123E5D">
        <w:rPr>
          <w:szCs w:val="20"/>
        </w:rPr>
        <w:t>meilleure</w:t>
      </w:r>
      <w:r w:rsidR="00E94AF0" w:rsidRPr="00123E5D">
        <w:rPr>
          <w:szCs w:val="20"/>
        </w:rPr>
        <w:t xml:space="preserve"> prise </w:t>
      </w:r>
      <w:r w:rsidRPr="00123E5D">
        <w:rPr>
          <w:szCs w:val="20"/>
        </w:rPr>
        <w:t xml:space="preserve">en compte </w:t>
      </w:r>
      <w:r w:rsidR="00E94AF0" w:rsidRPr="00123E5D">
        <w:rPr>
          <w:szCs w:val="20"/>
        </w:rPr>
        <w:t>d</w:t>
      </w:r>
      <w:r w:rsidRPr="00123E5D">
        <w:rPr>
          <w:szCs w:val="20"/>
        </w:rPr>
        <w:t xml:space="preserve">es </w:t>
      </w:r>
      <w:r w:rsidR="000C016E" w:rsidRPr="00123E5D">
        <w:rPr>
          <w:szCs w:val="20"/>
        </w:rPr>
        <w:t>évolutions</w:t>
      </w:r>
      <w:r w:rsidRPr="00123E5D">
        <w:rPr>
          <w:szCs w:val="20"/>
        </w:rPr>
        <w:t xml:space="preserve"> technologiques dans le domaine du cycle. </w:t>
      </w:r>
    </w:p>
    <w:p w14:paraId="7754BB8E" w14:textId="193899FE" w:rsidR="00A62E53" w:rsidRPr="00123E5D" w:rsidRDefault="00A62E53" w:rsidP="00123E5D">
      <w:pPr>
        <w:rPr>
          <w:rFonts w:cstheme="minorHAnsi"/>
          <w:szCs w:val="20"/>
        </w:rPr>
      </w:pPr>
      <w:r w:rsidRPr="00123E5D">
        <w:rPr>
          <w:rFonts w:cstheme="minorHAnsi"/>
          <w:szCs w:val="20"/>
        </w:rPr>
        <w:t xml:space="preserve">Certains postes répertoriés dans le tableau correspondent à des codes de la nomenclature par produit INSEE (comme le poste </w:t>
      </w:r>
      <w:r w:rsidR="008547C1" w:rsidRPr="00123E5D">
        <w:rPr>
          <w:rFonts w:cstheme="minorHAnsi"/>
          <w:szCs w:val="20"/>
        </w:rPr>
        <w:t>« </w:t>
      </w:r>
      <w:r w:rsidRPr="00123E5D">
        <w:rPr>
          <w:rFonts w:cstheme="minorHAnsi"/>
          <w:szCs w:val="20"/>
        </w:rPr>
        <w:t>bicyclettes</w:t>
      </w:r>
      <w:r w:rsidR="008547C1" w:rsidRPr="00123E5D">
        <w:rPr>
          <w:rFonts w:cstheme="minorHAnsi"/>
          <w:szCs w:val="20"/>
        </w:rPr>
        <w:t> »</w:t>
      </w:r>
      <w:r w:rsidRPr="00123E5D">
        <w:rPr>
          <w:rFonts w:cstheme="minorHAnsi"/>
          <w:szCs w:val="20"/>
        </w:rPr>
        <w:t>), contrairement à d’autres pour lesquels il est nécessaire d’appliquer un coefficient. Voici la liste exhaustive de</w:t>
      </w:r>
      <w:r w:rsidR="008547C1" w:rsidRPr="00123E5D">
        <w:rPr>
          <w:rFonts w:cstheme="minorHAnsi"/>
          <w:szCs w:val="20"/>
        </w:rPr>
        <w:t>s postes et l</w:t>
      </w:r>
      <w:r w:rsidRPr="00123E5D">
        <w:rPr>
          <w:rFonts w:cstheme="minorHAnsi"/>
          <w:szCs w:val="20"/>
        </w:rPr>
        <w:t>es coefficients leur correspondant :</w:t>
      </w:r>
    </w:p>
    <w:p w14:paraId="08AC2838" w14:textId="12F54459" w:rsidR="00A62E53" w:rsidRPr="00123E5D" w:rsidRDefault="00A62E53" w:rsidP="00123E5D">
      <w:pPr>
        <w:pStyle w:val="Paragraphedeliste"/>
        <w:numPr>
          <w:ilvl w:val="0"/>
          <w:numId w:val="2"/>
        </w:numPr>
        <w:spacing w:line="300" w:lineRule="atLeast"/>
        <w:rPr>
          <w:rFonts w:ascii="Raleway" w:hAnsi="Raleway" w:cstheme="minorHAnsi"/>
          <w:szCs w:val="20"/>
        </w:rPr>
      </w:pPr>
      <w:r w:rsidRPr="00123E5D">
        <w:rPr>
          <w:rFonts w:ascii="Raleway" w:hAnsi="Raleway" w:cstheme="minorHAnsi"/>
          <w:szCs w:val="20"/>
        </w:rPr>
        <w:t xml:space="preserve">les cotisations aux associations sportives non marchandes représentent (en estimation) </w:t>
      </w:r>
      <w:r w:rsidR="00B52494" w:rsidRPr="00123E5D">
        <w:rPr>
          <w:rFonts w:ascii="Raleway" w:hAnsi="Raleway" w:cstheme="minorHAnsi"/>
          <w:szCs w:val="20"/>
        </w:rPr>
        <w:t>75 </w:t>
      </w:r>
      <w:r w:rsidRPr="00123E5D">
        <w:rPr>
          <w:rFonts w:ascii="Raleway" w:hAnsi="Raleway" w:cstheme="minorHAnsi"/>
          <w:szCs w:val="20"/>
        </w:rPr>
        <w:t>% de l’agrégat GR93N « Activités sportives, récréatives et de loisirs (non marchandes) – Dépenses des ménages » ;</w:t>
      </w:r>
    </w:p>
    <w:p w14:paraId="4F8F9E52" w14:textId="664BCAD8" w:rsidR="00A62E53" w:rsidRPr="00123E5D" w:rsidRDefault="00A62E53" w:rsidP="00123E5D">
      <w:pPr>
        <w:pStyle w:val="Paragraphedeliste"/>
        <w:numPr>
          <w:ilvl w:val="0"/>
          <w:numId w:val="2"/>
        </w:numPr>
        <w:spacing w:line="300" w:lineRule="atLeast"/>
        <w:rPr>
          <w:rFonts w:ascii="Raleway" w:hAnsi="Raleway" w:cstheme="minorHAnsi"/>
          <w:szCs w:val="20"/>
        </w:rPr>
      </w:pPr>
      <w:r w:rsidRPr="00123E5D">
        <w:rPr>
          <w:rFonts w:ascii="Raleway" w:hAnsi="Raleway" w:cstheme="minorHAnsi"/>
          <w:szCs w:val="20"/>
        </w:rPr>
        <w:t xml:space="preserve">les remontées mécaniques des stations de sport d'hiver représentent (en estimation) </w:t>
      </w:r>
      <w:r w:rsidR="00B52494" w:rsidRPr="00123E5D">
        <w:rPr>
          <w:rFonts w:ascii="Raleway" w:hAnsi="Raleway" w:cstheme="minorHAnsi"/>
          <w:szCs w:val="20"/>
        </w:rPr>
        <w:t>78 </w:t>
      </w:r>
      <w:r w:rsidRPr="00123E5D">
        <w:rPr>
          <w:rFonts w:ascii="Raleway" w:hAnsi="Raleway" w:cstheme="minorHAnsi"/>
          <w:szCs w:val="20"/>
        </w:rPr>
        <w:t>% du poste HH49B5 « Téléphériques et remontées mécaniques » ;</w:t>
      </w:r>
    </w:p>
    <w:p w14:paraId="53B98F8C" w14:textId="04B1A95F" w:rsidR="00A62E53" w:rsidRPr="00123E5D" w:rsidRDefault="00A62E53" w:rsidP="00123E5D">
      <w:pPr>
        <w:pStyle w:val="Paragraphedeliste"/>
        <w:numPr>
          <w:ilvl w:val="0"/>
          <w:numId w:val="2"/>
        </w:numPr>
        <w:spacing w:line="300" w:lineRule="atLeast"/>
        <w:rPr>
          <w:rFonts w:ascii="Raleway" w:hAnsi="Raleway" w:cstheme="minorHAnsi"/>
          <w:szCs w:val="20"/>
        </w:rPr>
      </w:pPr>
      <w:r w:rsidRPr="00123E5D">
        <w:rPr>
          <w:rFonts w:ascii="Raleway" w:hAnsi="Raleway" w:cstheme="minorHAnsi"/>
          <w:szCs w:val="20"/>
        </w:rPr>
        <w:t>la location d'articles de sport représente (en estimation) 16,</w:t>
      </w:r>
      <w:r w:rsidR="00B52494" w:rsidRPr="00123E5D">
        <w:rPr>
          <w:rFonts w:ascii="Raleway" w:hAnsi="Raleway" w:cstheme="minorHAnsi"/>
          <w:szCs w:val="20"/>
        </w:rPr>
        <w:t>5 </w:t>
      </w:r>
      <w:r w:rsidRPr="00123E5D">
        <w:rPr>
          <w:rFonts w:ascii="Raleway" w:hAnsi="Raleway" w:cstheme="minorHAnsi"/>
          <w:szCs w:val="20"/>
        </w:rPr>
        <w:t>% de l’agrégat HN77Z2Z3 – « Location et location-bail d'autres biens – dont Dépenses des ménages » ;</w:t>
      </w:r>
    </w:p>
    <w:p w14:paraId="77E806CC" w14:textId="77777777" w:rsidR="00624473" w:rsidRPr="00624473" w:rsidRDefault="00A62E53" w:rsidP="00123E5D">
      <w:pPr>
        <w:pStyle w:val="Paragraphedeliste"/>
        <w:numPr>
          <w:ilvl w:val="0"/>
          <w:numId w:val="2"/>
        </w:numPr>
        <w:spacing w:line="300" w:lineRule="atLeast"/>
        <w:rPr>
          <w:rFonts w:ascii="Raleway" w:hAnsi="Raleway" w:cstheme="minorHAnsi"/>
          <w:b/>
          <w:i/>
          <w:szCs w:val="20"/>
        </w:rPr>
      </w:pPr>
      <w:r w:rsidRPr="00123E5D">
        <w:rPr>
          <w:rFonts w:ascii="Raleway" w:hAnsi="Raleway" w:cstheme="minorHAnsi"/>
          <w:szCs w:val="20"/>
        </w:rPr>
        <w:t xml:space="preserve">les armes de chasse et de tir sportif représentent (en estimation) </w:t>
      </w:r>
      <w:r w:rsidR="00B52494" w:rsidRPr="00123E5D">
        <w:rPr>
          <w:rFonts w:ascii="Raleway" w:hAnsi="Raleway" w:cstheme="minorHAnsi"/>
          <w:szCs w:val="20"/>
        </w:rPr>
        <w:t>46 </w:t>
      </w:r>
      <w:r w:rsidRPr="00123E5D">
        <w:rPr>
          <w:rFonts w:ascii="Raleway" w:hAnsi="Raleway" w:cstheme="minorHAnsi"/>
          <w:szCs w:val="20"/>
        </w:rPr>
        <w:t>% du poste GC25C « Armes et munitions ».</w:t>
      </w:r>
    </w:p>
    <w:p w14:paraId="2AB09C84" w14:textId="77777777" w:rsidR="00624473" w:rsidRDefault="00624473" w:rsidP="009E47E9">
      <w:pPr>
        <w:rPr>
          <w:rFonts w:cstheme="minorHAnsi"/>
          <w:b/>
          <w:i/>
          <w:szCs w:val="20"/>
        </w:rPr>
      </w:pPr>
    </w:p>
    <w:p w14:paraId="496FE84A" w14:textId="557CAAC8" w:rsidR="009E47E9" w:rsidRPr="00624473" w:rsidRDefault="009E47E9" w:rsidP="009E47E9">
      <w:pPr>
        <w:rPr>
          <w:rFonts w:cstheme="minorHAnsi"/>
          <w:b/>
          <w:color w:val="00A9A0"/>
          <w:sz w:val="24"/>
        </w:rPr>
      </w:pPr>
      <w:r w:rsidRPr="00624473">
        <w:rPr>
          <w:rFonts w:cstheme="minorHAnsi"/>
          <w:b/>
          <w:color w:val="00A9A0"/>
          <w:sz w:val="24"/>
        </w:rPr>
        <w:t>Dépense sportive des administrations publiques</w:t>
      </w:r>
    </w:p>
    <w:p w14:paraId="652F40D0" w14:textId="77777777" w:rsidR="009E47E9" w:rsidRPr="00123E5D" w:rsidRDefault="009E47E9" w:rsidP="009E47E9">
      <w:pPr>
        <w:rPr>
          <w:rFonts w:cstheme="minorHAnsi"/>
        </w:rPr>
      </w:pPr>
      <w:r w:rsidRPr="00123E5D">
        <w:rPr>
          <w:rFonts w:cstheme="minorHAnsi"/>
        </w:rPr>
        <w:t>La deuxième composante de la dépense sportive, constituée par les dépenses sportives des administrations publiques, présente l’avantage d’être relativement homogène par rapport à la première, puisqu’au sens de la comptabilité nationale elle s’interprète également en termes de consommation finale</w:t>
      </w:r>
      <w:r w:rsidRPr="00123E5D">
        <w:rPr>
          <w:rStyle w:val="Appelnotedebasdep"/>
          <w:rFonts w:cstheme="minorHAnsi"/>
        </w:rPr>
        <w:footnoteReference w:id="4"/>
      </w:r>
      <w:r w:rsidRPr="00123E5D">
        <w:rPr>
          <w:rFonts w:cstheme="minorHAnsi"/>
        </w:rPr>
        <w:t xml:space="preserve">. </w:t>
      </w:r>
    </w:p>
    <w:p w14:paraId="19845752" w14:textId="77777777" w:rsidR="009E47E9" w:rsidRPr="00123E5D" w:rsidRDefault="009E47E9" w:rsidP="009E47E9">
      <w:pPr>
        <w:rPr>
          <w:rFonts w:cstheme="minorHAnsi"/>
          <w:color w:val="FF0000"/>
        </w:rPr>
      </w:pPr>
      <w:r w:rsidRPr="00123E5D">
        <w:rPr>
          <w:rFonts w:cstheme="minorHAnsi"/>
        </w:rPr>
        <w:t>On peut décomposer la dépense sportive des administrations publiques du point de vue du bénéficiaire ou du point de vue du financeur. C’est ce dernier point de vue qui a été privilégié ici.</w:t>
      </w:r>
    </w:p>
    <w:p w14:paraId="499D8E2B" w14:textId="2128C276" w:rsidR="008962E3" w:rsidRPr="00123E5D" w:rsidRDefault="009E47E9" w:rsidP="009E47E9">
      <w:pPr>
        <w:rPr>
          <w:rFonts w:cstheme="minorHAnsi"/>
        </w:rPr>
      </w:pPr>
      <w:r w:rsidRPr="00123E5D">
        <w:rPr>
          <w:rFonts w:cstheme="minorHAnsi"/>
        </w:rPr>
        <w:t xml:space="preserve">En pratique, du point de vue du financeur, on distinguera les dépenses publiques suivant qu’elles émanent de l’État (S1311) ou des collectivités territoriales (S1313). Au sein de l’État, </w:t>
      </w:r>
      <w:r w:rsidR="00EF4CF4" w:rsidRPr="00123E5D">
        <w:rPr>
          <w:rFonts w:cstheme="minorHAnsi"/>
        </w:rPr>
        <w:t>on distinguera les dépenses du m</w:t>
      </w:r>
      <w:r w:rsidRPr="00123E5D">
        <w:rPr>
          <w:rFonts w:cstheme="minorHAnsi"/>
        </w:rPr>
        <w:t xml:space="preserve">inistère </w:t>
      </w:r>
      <w:r w:rsidR="00EF4CF4" w:rsidRPr="00123E5D">
        <w:rPr>
          <w:rFonts w:cstheme="minorHAnsi"/>
        </w:rPr>
        <w:t>charg</w:t>
      </w:r>
      <w:r w:rsidR="0096539E" w:rsidRPr="00123E5D">
        <w:rPr>
          <w:rFonts w:cstheme="minorHAnsi"/>
        </w:rPr>
        <w:t>é</w:t>
      </w:r>
      <w:r w:rsidR="00EF4CF4" w:rsidRPr="00123E5D">
        <w:rPr>
          <w:rFonts w:cstheme="minorHAnsi"/>
        </w:rPr>
        <w:t xml:space="preserve"> </w:t>
      </w:r>
      <w:r w:rsidRPr="00123E5D">
        <w:rPr>
          <w:rFonts w:cstheme="minorHAnsi"/>
        </w:rPr>
        <w:t>de l’</w:t>
      </w:r>
      <w:r w:rsidR="0096539E" w:rsidRPr="00123E5D">
        <w:rPr>
          <w:rFonts w:cstheme="minorHAnsi"/>
        </w:rPr>
        <w:t>é</w:t>
      </w:r>
      <w:r w:rsidRPr="00123E5D">
        <w:rPr>
          <w:rFonts w:cstheme="minorHAnsi"/>
        </w:rPr>
        <w:t>ducation nationale au titre de la rémunération des enseignants d’EPS dans les établissements scolaires du primaire, du secondaire et du supérieur</w:t>
      </w:r>
      <w:r w:rsidRPr="00123E5D">
        <w:rPr>
          <w:rStyle w:val="Appelnotedebasdep"/>
          <w:rFonts w:cstheme="minorHAnsi"/>
        </w:rPr>
        <w:footnoteReference w:id="5"/>
      </w:r>
      <w:r w:rsidRPr="00123E5D">
        <w:rPr>
          <w:rFonts w:cstheme="minorHAnsi"/>
        </w:rPr>
        <w:t xml:space="preserve">, et celles du </w:t>
      </w:r>
      <w:r w:rsidR="0096457A" w:rsidRPr="00123E5D">
        <w:rPr>
          <w:rFonts w:cstheme="minorHAnsi"/>
        </w:rPr>
        <w:t>m</w:t>
      </w:r>
      <w:r w:rsidRPr="00123E5D">
        <w:rPr>
          <w:rFonts w:cstheme="minorHAnsi"/>
        </w:rPr>
        <w:t xml:space="preserve">inistère </w:t>
      </w:r>
      <w:r w:rsidR="0096457A" w:rsidRPr="00123E5D">
        <w:rPr>
          <w:rFonts w:cstheme="minorHAnsi"/>
        </w:rPr>
        <w:t>charg</w:t>
      </w:r>
      <w:r w:rsidR="0096539E" w:rsidRPr="00123E5D">
        <w:rPr>
          <w:rFonts w:cstheme="minorHAnsi"/>
        </w:rPr>
        <w:t>é</w:t>
      </w:r>
      <w:r w:rsidR="0096457A" w:rsidRPr="00123E5D">
        <w:rPr>
          <w:rFonts w:cstheme="minorHAnsi"/>
        </w:rPr>
        <w:t xml:space="preserve"> des s</w:t>
      </w:r>
      <w:r w:rsidRPr="00123E5D">
        <w:rPr>
          <w:rFonts w:cstheme="minorHAnsi"/>
        </w:rPr>
        <w:t xml:space="preserve">ports, qui finance à la fois le sport de haut niveau et la promotion de la pratique sportive pour tous. Les dépenses sportives de l’État prises en charge par d’autres ministères sont marginales et ne sont </w:t>
      </w:r>
      <w:r w:rsidR="0002191A" w:rsidRPr="00123E5D">
        <w:rPr>
          <w:rFonts w:cstheme="minorHAnsi"/>
        </w:rPr>
        <w:t xml:space="preserve">pas </w:t>
      </w:r>
      <w:r w:rsidRPr="00123E5D">
        <w:rPr>
          <w:rFonts w:cstheme="minorHAnsi"/>
        </w:rPr>
        <w:t>prises en compte dans la présente étude.</w:t>
      </w:r>
      <w:r w:rsidR="0096457A" w:rsidRPr="00123E5D">
        <w:rPr>
          <w:rFonts w:cstheme="minorHAnsi"/>
        </w:rPr>
        <w:t xml:space="preserve"> </w:t>
      </w:r>
    </w:p>
    <w:p w14:paraId="3C63F2FE" w14:textId="77777777" w:rsidR="009E47E9" w:rsidRPr="00123E5D" w:rsidRDefault="009E47E9" w:rsidP="009E47E9">
      <w:pPr>
        <w:rPr>
          <w:rFonts w:cstheme="minorHAnsi"/>
        </w:rPr>
      </w:pPr>
      <w:r w:rsidRPr="00123E5D">
        <w:rPr>
          <w:rFonts w:cstheme="minorHAnsi"/>
        </w:rPr>
        <w:t xml:space="preserve">Les dépenses sportives incluent tous les niveaux de collectivités territoriales – régions, départements, communes et intercommunalités hors syndicats à vocation multiple (SIVOM) dont l’activité n’est pas </w:t>
      </w:r>
      <w:r w:rsidRPr="00123E5D">
        <w:rPr>
          <w:rFonts w:cstheme="minorHAnsi"/>
        </w:rPr>
        <w:lastRenderedPageBreak/>
        <w:t>détaillée par fonction (« échelon communal »). Elles incluent les dépenses de fon</w:t>
      </w:r>
      <w:r w:rsidR="009B65E9" w:rsidRPr="00123E5D">
        <w:rPr>
          <w:rFonts w:cstheme="minorHAnsi"/>
        </w:rPr>
        <w:t>ctionnement et d’investissement qu’il est possible de classer de manière</w:t>
      </w:r>
      <w:r w:rsidRPr="00123E5D">
        <w:rPr>
          <w:rFonts w:cstheme="minorHAnsi"/>
        </w:rPr>
        <w:t xml:space="preserve"> plus fine par nature de dépense.</w:t>
      </w:r>
    </w:p>
    <w:p w14:paraId="6C48225A" w14:textId="63187297" w:rsidR="0023397E" w:rsidRPr="00123E5D" w:rsidRDefault="009E47E9" w:rsidP="009E47E9">
      <w:pPr>
        <w:rPr>
          <w:rFonts w:cstheme="minorHAnsi"/>
          <w:highlight w:val="yellow"/>
        </w:rPr>
      </w:pPr>
      <w:r w:rsidRPr="00123E5D">
        <w:rPr>
          <w:rFonts w:cstheme="minorHAnsi"/>
        </w:rPr>
        <w:t xml:space="preserve">Les travaux d’expertise menés </w:t>
      </w:r>
      <w:r w:rsidR="009171EC">
        <w:rPr>
          <w:rFonts w:cstheme="minorHAnsi"/>
        </w:rPr>
        <w:t xml:space="preserve">en 2018 </w:t>
      </w:r>
      <w:r w:rsidRPr="00123E5D">
        <w:rPr>
          <w:rFonts w:cstheme="minorHAnsi"/>
        </w:rPr>
        <w:t>pour améliorer le mode de calcul de la dépense sportive nationale ont fait apparaître en premier lieu que l’estimation des dépenses des collectivités locales pouvait être améliorée par l’utilisation de</w:t>
      </w:r>
      <w:r w:rsidR="00945FA7">
        <w:rPr>
          <w:rFonts w:cstheme="minorHAnsi"/>
        </w:rPr>
        <w:t>s</w:t>
      </w:r>
      <w:r w:rsidRPr="00123E5D">
        <w:rPr>
          <w:rFonts w:cstheme="minorHAnsi"/>
        </w:rPr>
        <w:t xml:space="preserve"> données </w:t>
      </w:r>
      <w:r w:rsidR="00945FA7">
        <w:rPr>
          <w:rFonts w:cstheme="minorHAnsi"/>
        </w:rPr>
        <w:t>de</w:t>
      </w:r>
      <w:r w:rsidRPr="00123E5D">
        <w:rPr>
          <w:rFonts w:cstheme="minorHAnsi"/>
        </w:rPr>
        <w:t xml:space="preserve"> la DGF</w:t>
      </w:r>
      <w:r w:rsidR="00AE2C50" w:rsidRPr="00123E5D">
        <w:rPr>
          <w:rFonts w:cstheme="minorHAnsi"/>
        </w:rPr>
        <w:t>I</w:t>
      </w:r>
      <w:r w:rsidRPr="00123E5D">
        <w:rPr>
          <w:rFonts w:cstheme="minorHAnsi"/>
        </w:rPr>
        <w:t>P</w:t>
      </w:r>
      <w:r w:rsidR="00976AB7">
        <w:rPr>
          <w:rFonts w:cstheme="minorHAnsi"/>
        </w:rPr>
        <w:t>. Celle-ci</w:t>
      </w:r>
      <w:r w:rsidRPr="00123E5D">
        <w:rPr>
          <w:rFonts w:cstheme="minorHAnsi"/>
        </w:rPr>
        <w:t xml:space="preserve"> dispose désormais des montants croisant la fonction et la nature des dépenses effectivement déclarés par les collectivités. </w:t>
      </w:r>
      <w:r w:rsidR="0023397E" w:rsidRPr="00123E5D">
        <w:rPr>
          <w:rFonts w:cstheme="minorHAnsi"/>
        </w:rPr>
        <w:t>L’INSEE publie désormais chaque année</w:t>
      </w:r>
      <w:r w:rsidR="0023397E" w:rsidRPr="00123E5D">
        <w:rPr>
          <w:rStyle w:val="Appelnotedebasdep"/>
          <w:rFonts w:cstheme="minorHAnsi"/>
        </w:rPr>
        <w:footnoteReference w:id="6"/>
      </w:r>
      <w:r w:rsidR="0023397E" w:rsidRPr="00123E5D">
        <w:rPr>
          <w:rFonts w:cstheme="minorHAnsi"/>
        </w:rPr>
        <w:t xml:space="preserve"> sur la base de cette source une décomposition des dépenses des administrations publiques suivant une nomenclature internationale </w:t>
      </w:r>
      <w:r w:rsidR="005D14D2" w:rsidRPr="00123E5D">
        <w:rPr>
          <w:rFonts w:cstheme="minorHAnsi"/>
        </w:rPr>
        <w:t>: la COFOG (Classification of the Functions of the Government) ou en traduction française la CFAP (</w:t>
      </w:r>
      <w:r w:rsidR="00B52494" w:rsidRPr="00123E5D">
        <w:rPr>
          <w:rFonts w:cstheme="minorHAnsi"/>
        </w:rPr>
        <w:t>c</w:t>
      </w:r>
      <w:r w:rsidR="005D14D2" w:rsidRPr="00123E5D">
        <w:rPr>
          <w:rFonts w:cstheme="minorHAnsi"/>
        </w:rPr>
        <w:t xml:space="preserve">lassification des fonctions des administrations publiques). </w:t>
      </w:r>
    </w:p>
    <w:p w14:paraId="265AB661" w14:textId="7049BDD4" w:rsidR="009E47E9" w:rsidRPr="00123E5D" w:rsidRDefault="00D52CE8" w:rsidP="009E47E9">
      <w:pPr>
        <w:rPr>
          <w:rFonts w:cstheme="minorHAnsi"/>
        </w:rPr>
      </w:pPr>
      <w:r w:rsidRPr="00123E5D">
        <w:rPr>
          <w:rFonts w:cstheme="minorHAnsi"/>
        </w:rPr>
        <w:t xml:space="preserve">Le sport est l’une des composantes de la fonction « 08.1 - Services récréatifs et sportifs » </w:t>
      </w:r>
      <w:r w:rsidR="008962E3" w:rsidRPr="00123E5D">
        <w:rPr>
          <w:rFonts w:cstheme="minorHAnsi"/>
        </w:rPr>
        <w:t xml:space="preserve">de la COFOG. </w:t>
      </w:r>
      <w:r w:rsidR="0023397E" w:rsidRPr="00123E5D">
        <w:rPr>
          <w:rFonts w:cstheme="minorHAnsi"/>
        </w:rPr>
        <w:t>L</w:t>
      </w:r>
      <w:r w:rsidRPr="00123E5D">
        <w:rPr>
          <w:rFonts w:cstheme="minorHAnsi"/>
        </w:rPr>
        <w:t xml:space="preserve">’INJEP </w:t>
      </w:r>
      <w:r w:rsidR="0023397E" w:rsidRPr="00123E5D">
        <w:rPr>
          <w:rFonts w:cstheme="minorHAnsi"/>
        </w:rPr>
        <w:t xml:space="preserve">a </w:t>
      </w:r>
      <w:r w:rsidR="008962E3" w:rsidRPr="00123E5D">
        <w:rPr>
          <w:rFonts w:cstheme="minorHAnsi"/>
        </w:rPr>
        <w:t>isolé plus précisément le sport à partir</w:t>
      </w:r>
      <w:r w:rsidR="0023397E" w:rsidRPr="00123E5D">
        <w:rPr>
          <w:rFonts w:cstheme="minorHAnsi"/>
        </w:rPr>
        <w:t xml:space="preserve"> des données détaillées de la DGF</w:t>
      </w:r>
      <w:r w:rsidR="008025D9">
        <w:rPr>
          <w:rFonts w:cstheme="minorHAnsi"/>
        </w:rPr>
        <w:t>I</w:t>
      </w:r>
      <w:r w:rsidR="0023397E" w:rsidRPr="00123E5D">
        <w:rPr>
          <w:rFonts w:cstheme="minorHAnsi"/>
        </w:rPr>
        <w:t xml:space="preserve">P. </w:t>
      </w:r>
      <w:r w:rsidR="008962E3" w:rsidRPr="00123E5D">
        <w:rPr>
          <w:rFonts w:cstheme="minorHAnsi"/>
        </w:rPr>
        <w:t>P</w:t>
      </w:r>
      <w:r w:rsidR="0023397E" w:rsidRPr="00123E5D">
        <w:rPr>
          <w:rFonts w:cstheme="minorHAnsi"/>
        </w:rPr>
        <w:t>ar exemple, les dépenses des communes liées au sport sont isolées dans la sous-fonction 42</w:t>
      </w:r>
      <w:r w:rsidR="00A30518" w:rsidRPr="00123E5D">
        <w:rPr>
          <w:rFonts w:cstheme="minorHAnsi"/>
        </w:rPr>
        <w:t xml:space="preserve"> </w:t>
      </w:r>
      <w:r w:rsidR="008962E3" w:rsidRPr="00123E5D">
        <w:rPr>
          <w:rFonts w:cstheme="minorHAnsi"/>
        </w:rPr>
        <w:t xml:space="preserve">de leur </w:t>
      </w:r>
      <w:r w:rsidR="00A30518" w:rsidRPr="00123E5D">
        <w:rPr>
          <w:rFonts w:cstheme="minorHAnsi"/>
        </w:rPr>
        <w:t xml:space="preserve">plan comptable </w:t>
      </w:r>
      <w:r w:rsidR="008962E3" w:rsidRPr="00123E5D">
        <w:rPr>
          <w:rFonts w:cstheme="minorHAnsi"/>
        </w:rPr>
        <w:t>(</w:t>
      </w:r>
      <w:r w:rsidR="00A30518" w:rsidRPr="00123E5D">
        <w:rPr>
          <w:rFonts w:cstheme="minorHAnsi"/>
        </w:rPr>
        <w:t>« </w:t>
      </w:r>
      <w:r w:rsidR="008962E3" w:rsidRPr="00123E5D">
        <w:rPr>
          <w:rFonts w:cstheme="minorHAnsi"/>
        </w:rPr>
        <w:t xml:space="preserve">Instruction budgétaire et comptable </w:t>
      </w:r>
      <w:r w:rsidR="00A30518" w:rsidRPr="00123E5D">
        <w:rPr>
          <w:rFonts w:cstheme="minorHAnsi"/>
        </w:rPr>
        <w:t>M14 »</w:t>
      </w:r>
      <w:r w:rsidR="008962E3" w:rsidRPr="00123E5D">
        <w:rPr>
          <w:rFonts w:cstheme="minorHAnsi"/>
        </w:rPr>
        <w:t>)</w:t>
      </w:r>
      <w:r w:rsidR="00A30518" w:rsidRPr="00123E5D">
        <w:rPr>
          <w:rFonts w:cstheme="minorHAnsi"/>
        </w:rPr>
        <w:t xml:space="preserve">. </w:t>
      </w:r>
      <w:r w:rsidR="0002191A" w:rsidRPr="00123E5D">
        <w:rPr>
          <w:rFonts w:cstheme="minorHAnsi"/>
        </w:rPr>
        <w:t>L</w:t>
      </w:r>
      <w:r w:rsidR="009E47E9" w:rsidRPr="00123E5D">
        <w:rPr>
          <w:rFonts w:cstheme="minorHAnsi"/>
        </w:rPr>
        <w:t>’évolution des dépenses des différents niveaux de collectivités</w:t>
      </w:r>
      <w:r w:rsidR="0002191A" w:rsidRPr="00123E5D">
        <w:rPr>
          <w:rFonts w:cstheme="minorHAnsi"/>
        </w:rPr>
        <w:t xml:space="preserve"> est retracée directement</w:t>
      </w:r>
      <w:r w:rsidR="009E47E9" w:rsidRPr="00123E5D">
        <w:rPr>
          <w:rFonts w:cstheme="minorHAnsi"/>
        </w:rPr>
        <w:t xml:space="preserve">. Cette source de données, </w:t>
      </w:r>
      <w:r w:rsidR="006B073B" w:rsidRPr="00123E5D">
        <w:rPr>
          <w:rFonts w:cstheme="minorHAnsi"/>
        </w:rPr>
        <w:t>qui fait référence</w:t>
      </w:r>
      <w:r w:rsidR="009E47E9" w:rsidRPr="00123E5D">
        <w:rPr>
          <w:rFonts w:cstheme="minorHAnsi"/>
        </w:rPr>
        <w:t xml:space="preserve">, doit être aujourd’hui préférée à la méthode employée </w:t>
      </w:r>
      <w:r w:rsidR="0002191A" w:rsidRPr="00123E5D">
        <w:rPr>
          <w:rFonts w:cstheme="minorHAnsi"/>
        </w:rPr>
        <w:t>avant 2017</w:t>
      </w:r>
      <w:r w:rsidRPr="00123E5D">
        <w:rPr>
          <w:rStyle w:val="Appelnotedebasdep"/>
          <w:rFonts w:cstheme="minorHAnsi"/>
        </w:rPr>
        <w:footnoteReference w:id="7"/>
      </w:r>
      <w:r w:rsidRPr="00123E5D">
        <w:rPr>
          <w:rFonts w:cstheme="minorHAnsi"/>
        </w:rPr>
        <w:t>.</w:t>
      </w:r>
    </w:p>
    <w:p w14:paraId="235387FF" w14:textId="77777777" w:rsidR="00784503" w:rsidRPr="00624473" w:rsidRDefault="00784503" w:rsidP="000A2A46">
      <w:pPr>
        <w:rPr>
          <w:rFonts w:cstheme="minorHAnsi"/>
          <w:b/>
          <w:i/>
          <w:color w:val="000000" w:themeColor="text1"/>
        </w:rPr>
      </w:pPr>
      <w:r w:rsidRPr="00624473">
        <w:rPr>
          <w:rFonts w:cstheme="minorHAnsi"/>
          <w:b/>
          <w:i/>
          <w:color w:val="000000" w:themeColor="text1"/>
        </w:rPr>
        <w:t>Limites</w:t>
      </w:r>
      <w:r w:rsidR="00B43CD4" w:rsidRPr="00624473">
        <w:rPr>
          <w:rFonts w:cstheme="minorHAnsi"/>
          <w:b/>
          <w:i/>
          <w:color w:val="000000" w:themeColor="text1"/>
        </w:rPr>
        <w:t xml:space="preserve"> de la présente méthode</w:t>
      </w:r>
    </w:p>
    <w:p w14:paraId="2E18ADDA" w14:textId="443167AE" w:rsidR="00A30518" w:rsidRPr="00123E5D" w:rsidRDefault="00A30518" w:rsidP="00784503">
      <w:pPr>
        <w:rPr>
          <w:rFonts w:cstheme="minorHAnsi"/>
        </w:rPr>
      </w:pPr>
      <w:r w:rsidRPr="00123E5D">
        <w:rPr>
          <w:rFonts w:cstheme="minorHAnsi"/>
        </w:rPr>
        <w:t>Pour</w:t>
      </w:r>
      <w:r w:rsidR="008025D9">
        <w:rPr>
          <w:rFonts w:cstheme="minorHAnsi"/>
        </w:rPr>
        <w:t xml:space="preserve"> l’heure, les données de la DGFI</w:t>
      </w:r>
      <w:bookmarkStart w:id="0" w:name="_GoBack"/>
      <w:bookmarkEnd w:id="0"/>
      <w:r w:rsidRPr="00123E5D">
        <w:rPr>
          <w:rFonts w:cstheme="minorHAnsi"/>
        </w:rPr>
        <w:t>P ne permettent pas de neutraliser l’intégralité des doubles comptes pour cause de flux croisés entre</w:t>
      </w:r>
      <w:r w:rsidR="00B43CD4" w:rsidRPr="00123E5D">
        <w:rPr>
          <w:rFonts w:cstheme="minorHAnsi"/>
        </w:rPr>
        <w:t xml:space="preserve"> les différentes</w:t>
      </w:r>
      <w:r w:rsidRPr="00123E5D">
        <w:rPr>
          <w:rFonts w:cstheme="minorHAnsi"/>
        </w:rPr>
        <w:t xml:space="preserve"> collectivités (par exemple si la région ou le département subventionne la dépense sportive d’une commune). La persistance de certains de ces doubles comptes peut donc causer une surestimation de la dépense des administrations publiques qui n’est qu’en partie consolidé</w:t>
      </w:r>
      <w:r w:rsidR="00B43CD4" w:rsidRPr="00123E5D">
        <w:rPr>
          <w:rFonts w:cstheme="minorHAnsi"/>
        </w:rPr>
        <w:t>e</w:t>
      </w:r>
      <w:r w:rsidRPr="00123E5D">
        <w:rPr>
          <w:rFonts w:cstheme="minorHAnsi"/>
        </w:rPr>
        <w:t>.</w:t>
      </w:r>
    </w:p>
    <w:p w14:paraId="3626CB32" w14:textId="620D1923" w:rsidR="00A30518" w:rsidRPr="00624473" w:rsidRDefault="00784503" w:rsidP="00784503">
      <w:pPr>
        <w:rPr>
          <w:rFonts w:cstheme="minorHAnsi"/>
        </w:rPr>
      </w:pPr>
      <w:r w:rsidRPr="00123E5D">
        <w:rPr>
          <w:rFonts w:cstheme="minorHAnsi"/>
        </w:rPr>
        <w:t>Les collectivités territoriales contribuent également au sport par la mise à disposition gratuite de moyens en faveur des associations sportives (en particulier de locaux ou d’installations sportives). Cette contribution s’ajoute donc aux dépenses directes «</w:t>
      </w:r>
      <w:r w:rsidR="0096539E" w:rsidRPr="00123E5D">
        <w:rPr>
          <w:rFonts w:cstheme="minorHAnsi"/>
        </w:rPr>
        <w:t> </w:t>
      </w:r>
      <w:r w:rsidRPr="00123E5D">
        <w:rPr>
          <w:rFonts w:cstheme="minorHAnsi"/>
        </w:rPr>
        <w:t>en euros</w:t>
      </w:r>
      <w:r w:rsidR="0096539E" w:rsidRPr="00123E5D">
        <w:rPr>
          <w:rFonts w:cstheme="minorHAnsi"/>
        </w:rPr>
        <w:t> </w:t>
      </w:r>
      <w:r w:rsidRPr="00123E5D">
        <w:rPr>
          <w:rFonts w:cstheme="minorHAnsi"/>
        </w:rPr>
        <w:t xml:space="preserve">» </w:t>
      </w:r>
      <w:r w:rsidR="00A30518" w:rsidRPr="00123E5D">
        <w:rPr>
          <w:rFonts w:cstheme="minorHAnsi"/>
        </w:rPr>
        <w:t>qui sont retracées dans les données de la DGFiP</w:t>
      </w:r>
      <w:r w:rsidRPr="00123E5D">
        <w:rPr>
          <w:rFonts w:cstheme="minorHAnsi"/>
        </w:rPr>
        <w:t>.</w:t>
      </w:r>
      <w:r w:rsidR="00A30518" w:rsidRPr="00123E5D">
        <w:rPr>
          <w:rFonts w:cstheme="minorHAnsi"/>
        </w:rPr>
        <w:t xml:space="preserve"> </w:t>
      </w:r>
      <w:r w:rsidRPr="00123E5D">
        <w:rPr>
          <w:rFonts w:cstheme="minorHAnsi"/>
        </w:rPr>
        <w:t>Dans le cas d’une installation sportive, par exemple, les données issues de la comptabilité publique fourniront les montants liés à la construction et à l’entretien</w:t>
      </w:r>
      <w:r w:rsidR="00624473">
        <w:rPr>
          <w:rFonts w:cstheme="minorHAnsi"/>
        </w:rPr>
        <w:t>,</w:t>
      </w:r>
      <w:r w:rsidRPr="00123E5D">
        <w:rPr>
          <w:rFonts w:cstheme="minorHAnsi"/>
        </w:rPr>
        <w:t xml:space="preserve"> mais pas d’éventuels loyers auxquels aurait renoncé la collectivité propriétaire de l’installation. L’effort consenti par la collectivité en faveur du sport est ainsi sous-estimé à ce titre.</w:t>
      </w:r>
      <w:r w:rsidR="00A30518" w:rsidRPr="00123E5D">
        <w:rPr>
          <w:rFonts w:cstheme="minorHAnsi"/>
        </w:rPr>
        <w:t xml:space="preserve"> </w:t>
      </w:r>
      <w:r w:rsidRPr="00123E5D">
        <w:rPr>
          <w:rFonts w:cstheme="minorHAnsi"/>
        </w:rPr>
        <w:t>Cette contribution indirecte des collectivités ne peut cependant pas être estimée de manière fiable et systématique</w:t>
      </w:r>
      <w:r w:rsidR="009B65E9" w:rsidRPr="00123E5D">
        <w:rPr>
          <w:rFonts w:cstheme="minorHAnsi"/>
        </w:rPr>
        <w:t xml:space="preserve"> au vu des sources statistiques </w:t>
      </w:r>
      <w:r w:rsidR="00B43CD4" w:rsidRPr="00123E5D">
        <w:rPr>
          <w:rFonts w:cstheme="minorHAnsi"/>
        </w:rPr>
        <w:t xml:space="preserve">actuellement </w:t>
      </w:r>
      <w:r w:rsidR="009B65E9" w:rsidRPr="00123E5D">
        <w:rPr>
          <w:rFonts w:cstheme="minorHAnsi"/>
        </w:rPr>
        <w:t>disponibles</w:t>
      </w:r>
      <w:r w:rsidRPr="00123E5D">
        <w:rPr>
          <w:rFonts w:cstheme="minorHAnsi"/>
        </w:rPr>
        <w:t>.</w:t>
      </w:r>
    </w:p>
    <w:p w14:paraId="12A7809E" w14:textId="0205F6E2" w:rsidR="00A30518" w:rsidRPr="00123E5D" w:rsidRDefault="00A30518" w:rsidP="00784503">
      <w:pPr>
        <w:rPr>
          <w:rFonts w:cstheme="minorHAnsi"/>
        </w:rPr>
      </w:pPr>
      <w:r w:rsidRPr="00123E5D">
        <w:rPr>
          <w:rFonts w:cstheme="minorHAnsi"/>
        </w:rPr>
        <w:t>De la même manière</w:t>
      </w:r>
      <w:r w:rsidR="00784503" w:rsidRPr="00123E5D">
        <w:rPr>
          <w:rFonts w:cstheme="minorHAnsi"/>
        </w:rPr>
        <w:t xml:space="preserve">, l’estimation de la dépense sportive de l’État ne couvre que les dépenses directes en faveur du sport. N’étant pas isolé dans les données de la </w:t>
      </w:r>
      <w:r w:rsidR="00B13DC9" w:rsidRPr="00123E5D">
        <w:rPr>
          <w:rFonts w:cstheme="minorHAnsi"/>
        </w:rPr>
        <w:t>DGFIP</w:t>
      </w:r>
      <w:r w:rsidR="00784503" w:rsidRPr="00123E5D">
        <w:rPr>
          <w:rFonts w:cstheme="minorHAnsi"/>
        </w:rPr>
        <w:t xml:space="preserve">, le coût des mesures fiscales (crédits d’impôt notamment) en faveur du sport </w:t>
      </w:r>
      <w:r w:rsidR="007B001F" w:rsidRPr="00123E5D">
        <w:rPr>
          <w:rFonts w:cstheme="minorHAnsi"/>
        </w:rPr>
        <w:t>n’est pas inclus</w:t>
      </w:r>
      <w:r w:rsidR="00784503" w:rsidRPr="00123E5D">
        <w:rPr>
          <w:rFonts w:cstheme="minorHAnsi"/>
        </w:rPr>
        <w:t xml:space="preserve"> dans le champ de la dépense sportive de l’État.</w:t>
      </w:r>
      <w:r w:rsidR="00D06232" w:rsidRPr="00123E5D">
        <w:rPr>
          <w:rFonts w:cstheme="minorHAnsi"/>
        </w:rPr>
        <w:t xml:space="preserve"> Par ailleurs, à compter du projet de loi de finance</w:t>
      </w:r>
      <w:r w:rsidR="006A2279">
        <w:rPr>
          <w:rFonts w:cstheme="minorHAnsi"/>
        </w:rPr>
        <w:t>s</w:t>
      </w:r>
      <w:r w:rsidR="00D06232" w:rsidRPr="00123E5D">
        <w:rPr>
          <w:rFonts w:cstheme="minorHAnsi"/>
        </w:rPr>
        <w:t xml:space="preserve"> de 2021, en conséquence du rattachement du ministère chargé des sports au </w:t>
      </w:r>
      <w:r w:rsidR="007510A5">
        <w:rPr>
          <w:rFonts w:cstheme="minorHAnsi"/>
        </w:rPr>
        <w:t xml:space="preserve">secrétariat général du </w:t>
      </w:r>
      <w:r w:rsidR="00D06232" w:rsidRPr="00123E5D">
        <w:rPr>
          <w:rFonts w:cstheme="minorHAnsi"/>
        </w:rPr>
        <w:t>ministère de l'éducation nationale et de la jeunesse, les crédits du programme 124 sont transférés sur le programme 214 «</w:t>
      </w:r>
      <w:r w:rsidR="0096539E" w:rsidRPr="00123E5D">
        <w:rPr>
          <w:rFonts w:cstheme="minorHAnsi"/>
        </w:rPr>
        <w:t> </w:t>
      </w:r>
      <w:r w:rsidR="00D06232" w:rsidRPr="00123E5D">
        <w:rPr>
          <w:rFonts w:cstheme="minorHAnsi"/>
        </w:rPr>
        <w:t>soutien de la politique de l’éducation nationale</w:t>
      </w:r>
      <w:r w:rsidR="0096539E" w:rsidRPr="00123E5D">
        <w:rPr>
          <w:rFonts w:cstheme="minorHAnsi"/>
        </w:rPr>
        <w:t> </w:t>
      </w:r>
      <w:r w:rsidR="00D06232" w:rsidRPr="00123E5D">
        <w:rPr>
          <w:rFonts w:cstheme="minorHAnsi"/>
        </w:rPr>
        <w:t>» de la mission «</w:t>
      </w:r>
      <w:r w:rsidR="0096539E" w:rsidRPr="00123E5D">
        <w:rPr>
          <w:rFonts w:cstheme="minorHAnsi"/>
        </w:rPr>
        <w:t> </w:t>
      </w:r>
      <w:r w:rsidR="00D06232" w:rsidRPr="00123E5D">
        <w:rPr>
          <w:rFonts w:cstheme="minorHAnsi"/>
        </w:rPr>
        <w:t>enseignement scolaire</w:t>
      </w:r>
      <w:r w:rsidR="0096539E" w:rsidRPr="00123E5D">
        <w:rPr>
          <w:rFonts w:cstheme="minorHAnsi"/>
        </w:rPr>
        <w:t> </w:t>
      </w:r>
      <w:r w:rsidR="00D06232" w:rsidRPr="00123E5D">
        <w:rPr>
          <w:rFonts w:cstheme="minorHAnsi"/>
        </w:rPr>
        <w:t>» au travers de l’action 11 «</w:t>
      </w:r>
      <w:r w:rsidR="0096539E" w:rsidRPr="00123E5D">
        <w:rPr>
          <w:rFonts w:cstheme="minorHAnsi"/>
        </w:rPr>
        <w:t> </w:t>
      </w:r>
      <w:r w:rsidR="00D06232" w:rsidRPr="00123E5D">
        <w:rPr>
          <w:rFonts w:cstheme="minorHAnsi"/>
        </w:rPr>
        <w:t>Pilotage et mise œuvre des politiques du sport, de la jeunesse, de l'éducation populaire et de la vie associative</w:t>
      </w:r>
      <w:r w:rsidR="0096539E" w:rsidRPr="00123E5D">
        <w:rPr>
          <w:rFonts w:cstheme="minorHAnsi"/>
        </w:rPr>
        <w:t> </w:t>
      </w:r>
      <w:r w:rsidR="00D06232" w:rsidRPr="00123E5D">
        <w:rPr>
          <w:rFonts w:cstheme="minorHAnsi"/>
        </w:rPr>
        <w:t>». La dépense du ministère charg</w:t>
      </w:r>
      <w:r w:rsidR="0096539E" w:rsidRPr="00123E5D">
        <w:rPr>
          <w:rFonts w:cstheme="minorHAnsi"/>
        </w:rPr>
        <w:t>é</w:t>
      </w:r>
      <w:r w:rsidR="00D06232" w:rsidRPr="00123E5D">
        <w:rPr>
          <w:rFonts w:cstheme="minorHAnsi"/>
        </w:rPr>
        <w:t xml:space="preserve"> des sports ainsi obtenue est légèrement surestimée à partir de la </w:t>
      </w:r>
      <w:r w:rsidR="00D06232" w:rsidRPr="00123E5D">
        <w:rPr>
          <w:rFonts w:cstheme="minorHAnsi"/>
        </w:rPr>
        <w:lastRenderedPageBreak/>
        <w:t>nouvelle édition 2023</w:t>
      </w:r>
      <w:r w:rsidR="0096539E" w:rsidRPr="00123E5D">
        <w:rPr>
          <w:rFonts w:cstheme="minorHAnsi"/>
        </w:rPr>
        <w:t>,</w:t>
      </w:r>
      <w:r w:rsidR="00D06232" w:rsidRPr="00123E5D">
        <w:rPr>
          <w:rFonts w:cstheme="minorHAnsi"/>
        </w:rPr>
        <w:t xml:space="preserve"> car il n’est pas possible de distinguer avec précision ce qui relève de la politique du sport au sein de ce programme.</w:t>
      </w:r>
    </w:p>
    <w:p w14:paraId="3EFDEB24" w14:textId="54712FF8" w:rsidR="00E110BF" w:rsidRDefault="00E110BF" w:rsidP="00E110BF">
      <w:pPr>
        <w:rPr>
          <w:rFonts w:cstheme="minorHAnsi"/>
        </w:rPr>
      </w:pPr>
      <w:r w:rsidRPr="00123E5D">
        <w:rPr>
          <w:rFonts w:cstheme="minorHAnsi"/>
        </w:rPr>
        <w:t>Il faut noter enfin que la dépense du secteur S15 des ISBLSM</w:t>
      </w:r>
      <w:r w:rsidRPr="00123E5D">
        <w:rPr>
          <w:rStyle w:val="Appelnotedebasdep"/>
          <w:rFonts w:cstheme="minorHAnsi"/>
        </w:rPr>
        <w:footnoteReference w:id="8"/>
      </w:r>
      <w:r w:rsidR="00AE7CA9" w:rsidRPr="00123E5D">
        <w:rPr>
          <w:rFonts w:cstheme="minorHAnsi"/>
        </w:rPr>
        <w:t xml:space="preserve"> </w:t>
      </w:r>
      <w:r w:rsidRPr="00123E5D">
        <w:rPr>
          <w:rFonts w:cstheme="minorHAnsi"/>
        </w:rPr>
        <w:t>se trouve indirectement reflétée par la dépense des administrations publiques (exemple du cas fréquent où des administrations versent des aides aux associations sportives).</w:t>
      </w:r>
    </w:p>
    <w:p w14:paraId="154A29E4" w14:textId="77777777" w:rsidR="00624473" w:rsidRPr="00123E5D" w:rsidRDefault="00624473" w:rsidP="00E110BF">
      <w:pPr>
        <w:rPr>
          <w:rFonts w:cstheme="minorHAnsi"/>
        </w:rPr>
      </w:pPr>
    </w:p>
    <w:p w14:paraId="64FE27C5" w14:textId="77777777" w:rsidR="00925A46" w:rsidRPr="00624473" w:rsidRDefault="00925A46" w:rsidP="00925A46">
      <w:pPr>
        <w:rPr>
          <w:rFonts w:cstheme="minorHAnsi"/>
          <w:b/>
          <w:color w:val="00A9A0"/>
          <w:sz w:val="24"/>
        </w:rPr>
      </w:pPr>
      <w:r w:rsidRPr="00624473">
        <w:rPr>
          <w:rFonts w:cstheme="minorHAnsi"/>
          <w:b/>
          <w:color w:val="00A9A0"/>
          <w:sz w:val="24"/>
        </w:rPr>
        <w:t>Commerce extérieur</w:t>
      </w:r>
    </w:p>
    <w:p w14:paraId="16837291" w14:textId="6547F121" w:rsidR="00925A46" w:rsidRPr="00123E5D" w:rsidRDefault="00925A46" w:rsidP="00925A46">
      <w:pPr>
        <w:rPr>
          <w:rFonts w:cstheme="minorHAnsi"/>
        </w:rPr>
      </w:pPr>
      <w:r w:rsidRPr="00123E5D">
        <w:rPr>
          <w:rFonts w:cstheme="minorHAnsi"/>
        </w:rPr>
        <w:t xml:space="preserve">Les données de commerce extérieur, importations et exportations et leur solde, sont communiquées par la </w:t>
      </w:r>
      <w:r w:rsidR="00B13DC9" w:rsidRPr="00123E5D">
        <w:rPr>
          <w:rFonts w:cstheme="minorHAnsi"/>
        </w:rPr>
        <w:t xml:space="preserve">Direction générale des douanes et droits indirects </w:t>
      </w:r>
      <w:r w:rsidRPr="00123E5D">
        <w:rPr>
          <w:rFonts w:cstheme="minorHAnsi"/>
        </w:rPr>
        <w:t>(</w:t>
      </w:r>
      <w:r w:rsidR="00B13DC9" w:rsidRPr="00123E5D">
        <w:rPr>
          <w:rFonts w:cstheme="minorHAnsi"/>
        </w:rPr>
        <w:t>DGDDI</w:t>
      </w:r>
      <w:r w:rsidRPr="00123E5D">
        <w:rPr>
          <w:rFonts w:cstheme="minorHAnsi"/>
        </w:rPr>
        <w:t xml:space="preserve">) </w:t>
      </w:r>
      <w:r w:rsidR="0036013F" w:rsidRPr="00123E5D">
        <w:rPr>
          <w:rFonts w:cstheme="minorHAnsi"/>
        </w:rPr>
        <w:t xml:space="preserve">au </w:t>
      </w:r>
      <w:r w:rsidR="00B13DC9" w:rsidRPr="00123E5D">
        <w:rPr>
          <w:rFonts w:cstheme="minorHAnsi"/>
        </w:rPr>
        <w:t xml:space="preserve">département </w:t>
      </w:r>
      <w:r w:rsidR="0036013F" w:rsidRPr="00123E5D">
        <w:rPr>
          <w:rFonts w:cstheme="minorHAnsi"/>
        </w:rPr>
        <w:t xml:space="preserve">de la </w:t>
      </w:r>
      <w:r w:rsidR="00B13DC9" w:rsidRPr="00123E5D">
        <w:rPr>
          <w:rFonts w:cstheme="minorHAnsi"/>
        </w:rPr>
        <w:t xml:space="preserve">comptabilité </w:t>
      </w:r>
      <w:r w:rsidR="0036013F" w:rsidRPr="00123E5D">
        <w:rPr>
          <w:rFonts w:cstheme="minorHAnsi"/>
        </w:rPr>
        <w:t xml:space="preserve">nationale de l’INSEE </w:t>
      </w:r>
      <w:r w:rsidRPr="00123E5D">
        <w:rPr>
          <w:rFonts w:cstheme="minorHAnsi"/>
        </w:rPr>
        <w:t xml:space="preserve">et regroupent douze catégories (au sens de la </w:t>
      </w:r>
      <w:hyperlink r:id="rId8" w:history="1">
        <w:r w:rsidRPr="00123E5D">
          <w:rPr>
            <w:rStyle w:val="Lienhypertexte"/>
            <w:rFonts w:cstheme="minorHAnsi"/>
          </w:rPr>
          <w:t>NC8</w:t>
        </w:r>
      </w:hyperlink>
      <w:r w:rsidRPr="00123E5D">
        <w:rPr>
          <w:rFonts w:cstheme="minorHAnsi"/>
        </w:rPr>
        <w:t>, qui est une nomenclature de produits utilisée par la DGDDI) de biens de consommation à « usage sportif » au sens large, incluant des activités physiques de loisir ou de plein air : bicyclettes et accessoires, survêtements de sport, maillots de bain, chaussures de ski et surf de neige, autres chaussures de sport, « autres bateaux de plaisance et de sport », planeurs et autres engins aériens de loisir, voiliers, articles de chasse et de tir sportif, skis et surfs de neige, articles de pêche et accessoires, autres articles de sport.</w:t>
      </w:r>
    </w:p>
    <w:p w14:paraId="588C4A3F" w14:textId="09AC8679" w:rsidR="00925A46" w:rsidRPr="00624473" w:rsidRDefault="00925A46" w:rsidP="000A2A46">
      <w:pPr>
        <w:rPr>
          <w:rFonts w:cstheme="minorHAnsi"/>
        </w:rPr>
      </w:pPr>
      <w:r w:rsidRPr="00123E5D">
        <w:rPr>
          <w:rFonts w:cstheme="minorHAnsi"/>
        </w:rPr>
        <w:t>Comme pour les dépenses sportives des ménages, on effectue ensuite un partage volume/prix des dépenses au moyen des indices de prix à la consommation de l’I</w:t>
      </w:r>
      <w:r w:rsidR="00B13DC9" w:rsidRPr="00123E5D">
        <w:rPr>
          <w:rFonts w:cstheme="minorHAnsi"/>
        </w:rPr>
        <w:t>NSEE</w:t>
      </w:r>
      <w:r w:rsidRPr="00123E5D">
        <w:rPr>
          <w:rFonts w:cstheme="minorHAnsi"/>
        </w:rPr>
        <w:t>.</w:t>
      </w:r>
      <w:r w:rsidR="0036013F" w:rsidRPr="00123E5D">
        <w:rPr>
          <w:rFonts w:cstheme="minorHAnsi"/>
        </w:rPr>
        <w:t xml:space="preserve"> La base de l’Indice des prix à la consommation étant 2015 et celle de la </w:t>
      </w:r>
      <w:r w:rsidR="00B13DC9" w:rsidRPr="00123E5D">
        <w:rPr>
          <w:rFonts w:cstheme="minorHAnsi"/>
        </w:rPr>
        <w:t>c</w:t>
      </w:r>
      <w:r w:rsidR="0036013F" w:rsidRPr="00123E5D">
        <w:rPr>
          <w:rFonts w:cstheme="minorHAnsi"/>
        </w:rPr>
        <w:t xml:space="preserve">omptabilité nationale </w:t>
      </w:r>
      <w:r w:rsidR="003158B0" w:rsidRPr="00123E5D">
        <w:rPr>
          <w:rFonts w:cstheme="minorHAnsi"/>
        </w:rPr>
        <w:t xml:space="preserve">2020, on </w:t>
      </w:r>
      <w:r w:rsidR="0036013F" w:rsidRPr="00123E5D">
        <w:rPr>
          <w:rFonts w:cstheme="minorHAnsi"/>
        </w:rPr>
        <w:t>effectu</w:t>
      </w:r>
      <w:r w:rsidR="003158B0" w:rsidRPr="00123E5D">
        <w:rPr>
          <w:rFonts w:cstheme="minorHAnsi"/>
        </w:rPr>
        <w:t>e</w:t>
      </w:r>
      <w:r w:rsidR="0036013F" w:rsidRPr="00123E5D">
        <w:rPr>
          <w:rFonts w:cstheme="minorHAnsi"/>
        </w:rPr>
        <w:t xml:space="preserve"> ensuite un </w:t>
      </w:r>
      <w:r w:rsidR="006B073B" w:rsidRPr="00123E5D">
        <w:rPr>
          <w:rFonts w:cstheme="minorHAnsi"/>
        </w:rPr>
        <w:t>changement de base afin de garantir l’</w:t>
      </w:r>
      <w:r w:rsidR="0036013F" w:rsidRPr="00123E5D">
        <w:rPr>
          <w:rFonts w:cstheme="minorHAnsi"/>
        </w:rPr>
        <w:t>homogénéité</w:t>
      </w:r>
      <w:r w:rsidR="006B073B" w:rsidRPr="00123E5D">
        <w:rPr>
          <w:rFonts w:cstheme="minorHAnsi"/>
        </w:rPr>
        <w:t xml:space="preserve"> des différentes composantes du poids économique du sport</w:t>
      </w:r>
      <w:r w:rsidR="0036013F" w:rsidRPr="00123E5D">
        <w:rPr>
          <w:rFonts w:cstheme="minorHAnsi"/>
        </w:rPr>
        <w:t>.</w:t>
      </w:r>
    </w:p>
    <w:sectPr w:rsidR="00925A46" w:rsidRPr="00624473" w:rsidSect="00DA6E5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98E8E" w14:textId="77777777" w:rsidR="00D128EE" w:rsidRDefault="00D128EE" w:rsidP="009E47E9">
      <w:r>
        <w:separator/>
      </w:r>
    </w:p>
  </w:endnote>
  <w:endnote w:type="continuationSeparator" w:id="0">
    <w:p w14:paraId="12ACE1AF" w14:textId="77777777" w:rsidR="00D128EE" w:rsidRDefault="00D128EE" w:rsidP="009E47E9">
      <w:r>
        <w:continuationSeparator/>
      </w:r>
    </w:p>
  </w:endnote>
  <w:endnote w:type="continuationNotice" w:id="1">
    <w:p w14:paraId="6CE0E7DF" w14:textId="77777777" w:rsidR="00D128EE" w:rsidRDefault="00D128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003030101060003"/>
    <w:charset w:val="00"/>
    <w:family w:val="swiss"/>
    <w:pitch w:val="variable"/>
    <w:sig w:usb0="A00002FF" w:usb1="5000205B" w:usb2="00000000" w:usb3="00000000" w:csb0="00000097" w:csb1="00000000"/>
  </w:font>
  <w:font w:name="Tahoma">
    <w:panose1 w:val="020B0604030504040204"/>
    <w:charset w:val="00"/>
    <w:family w:val="swiss"/>
    <w:pitch w:val="variable"/>
    <w:sig w:usb0="E1002EFF" w:usb1="C000605B" w:usb2="00000029" w:usb3="00000000" w:csb0="000101FF" w:csb1="00000000"/>
  </w:font>
  <w:font w:name="Raleway SemiBold">
    <w:altName w:val="Times New Roman"/>
    <w:panose1 w:val="020B0003030101060003"/>
    <w:charset w:val="00"/>
    <w:family w:val="swiss"/>
    <w:pitch w:val="variable"/>
    <w:sig w:usb0="A00002FF" w:usb1="5000205B" w:usb2="00000000" w:usb3="00000000" w:csb0="00000097" w:csb1="00000000"/>
  </w:font>
  <w:font w:name="Calibri (Corp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D58F6" w14:textId="77777777" w:rsidR="00D128EE" w:rsidRDefault="00D128EE" w:rsidP="009E47E9">
      <w:r>
        <w:separator/>
      </w:r>
    </w:p>
  </w:footnote>
  <w:footnote w:type="continuationSeparator" w:id="0">
    <w:p w14:paraId="1421740C" w14:textId="77777777" w:rsidR="00D128EE" w:rsidRDefault="00D128EE" w:rsidP="009E47E9">
      <w:r>
        <w:continuationSeparator/>
      </w:r>
    </w:p>
  </w:footnote>
  <w:footnote w:type="continuationNotice" w:id="1">
    <w:p w14:paraId="224D24C3" w14:textId="77777777" w:rsidR="00D128EE" w:rsidRDefault="00D128EE"/>
  </w:footnote>
  <w:footnote w:id="2">
    <w:p w14:paraId="19092B9B" w14:textId="77777777" w:rsidR="00B52494" w:rsidRPr="00123E5D" w:rsidRDefault="00B52494" w:rsidP="0036013F">
      <w:pPr>
        <w:pStyle w:val="Notedebasdepage"/>
        <w:rPr>
          <w:rFonts w:ascii="Raleway" w:hAnsi="Raleway"/>
          <w:sz w:val="16"/>
          <w:szCs w:val="16"/>
        </w:rPr>
      </w:pPr>
      <w:r w:rsidRPr="00123E5D">
        <w:rPr>
          <w:rStyle w:val="Appelnotedebasdep"/>
          <w:rFonts w:ascii="Raleway" w:hAnsi="Raleway"/>
          <w:sz w:val="16"/>
          <w:szCs w:val="16"/>
        </w:rPr>
        <w:footnoteRef/>
      </w:r>
      <w:r w:rsidRPr="00123E5D">
        <w:rPr>
          <w:rFonts w:ascii="Raleway" w:hAnsi="Raleway"/>
          <w:sz w:val="16"/>
          <w:szCs w:val="16"/>
        </w:rPr>
        <w:t xml:space="preserve"> DIETSCH B., 2018, </w:t>
      </w:r>
      <w:r w:rsidRPr="00123E5D">
        <w:rPr>
          <w:rFonts w:ascii="Raleway" w:hAnsi="Raleway"/>
          <w:i/>
          <w:iCs/>
          <w:sz w:val="16"/>
          <w:szCs w:val="16"/>
        </w:rPr>
        <w:t>Estimer le poids économique du sport : méthodologie</w:t>
      </w:r>
      <w:r w:rsidRPr="00123E5D">
        <w:rPr>
          <w:rFonts w:ascii="Raleway" w:hAnsi="Raleway"/>
          <w:sz w:val="16"/>
          <w:szCs w:val="16"/>
        </w:rPr>
        <w:t>, INJEP Notes &amp; rapports/Note thématique, INJEP.</w:t>
      </w:r>
    </w:p>
  </w:footnote>
  <w:footnote w:id="3">
    <w:p w14:paraId="67358026" w14:textId="57F3C80F" w:rsidR="00B83885" w:rsidRPr="00123E5D" w:rsidRDefault="00B83885">
      <w:pPr>
        <w:pStyle w:val="Notedebasdepage"/>
        <w:rPr>
          <w:rFonts w:ascii="Raleway" w:hAnsi="Raleway"/>
          <w:sz w:val="16"/>
          <w:szCs w:val="16"/>
        </w:rPr>
      </w:pPr>
      <w:r w:rsidRPr="00123E5D">
        <w:rPr>
          <w:rStyle w:val="Appelnotedebasdep"/>
          <w:rFonts w:ascii="Raleway" w:hAnsi="Raleway"/>
          <w:sz w:val="16"/>
          <w:szCs w:val="16"/>
        </w:rPr>
        <w:footnoteRef/>
      </w:r>
      <w:r w:rsidRPr="00123E5D">
        <w:rPr>
          <w:rFonts w:ascii="Raleway" w:hAnsi="Raleway"/>
          <w:sz w:val="16"/>
          <w:szCs w:val="16"/>
        </w:rPr>
        <w:t xml:space="preserve"> Voir la note méthodologique de l’I</w:t>
      </w:r>
      <w:r w:rsidR="0096539E" w:rsidRPr="00123E5D">
        <w:rPr>
          <w:rFonts w:ascii="Raleway" w:hAnsi="Raleway"/>
          <w:sz w:val="16"/>
          <w:szCs w:val="16"/>
        </w:rPr>
        <w:t>NSEE</w:t>
      </w:r>
      <w:r w:rsidRPr="00123E5D">
        <w:rPr>
          <w:rFonts w:ascii="Raleway" w:hAnsi="Raleway"/>
          <w:sz w:val="16"/>
          <w:szCs w:val="16"/>
        </w:rPr>
        <w:t xml:space="preserve"> : </w:t>
      </w:r>
      <w:hyperlink r:id="rId1" w:history="1">
        <w:r w:rsidRPr="00123E5D">
          <w:rPr>
            <w:rStyle w:val="Lienhypertexte"/>
            <w:rFonts w:ascii="Raleway" w:hAnsi="Raleway"/>
            <w:sz w:val="16"/>
            <w:szCs w:val="16"/>
          </w:rPr>
          <w:t>https://www.insee.fr/fr/metadonnees/source/fichier/Tome3_conso_Base2020.pdf</w:t>
        </w:r>
      </w:hyperlink>
    </w:p>
  </w:footnote>
  <w:footnote w:id="4">
    <w:p w14:paraId="0FDA8F2F" w14:textId="77777777" w:rsidR="00B52494" w:rsidRPr="00123E5D" w:rsidRDefault="00B52494" w:rsidP="00624473">
      <w:pPr>
        <w:pStyle w:val="Notedebasdepage"/>
        <w:spacing w:line="240" w:lineRule="auto"/>
        <w:rPr>
          <w:rFonts w:ascii="Raleway" w:hAnsi="Raleway"/>
          <w:sz w:val="16"/>
          <w:szCs w:val="16"/>
        </w:rPr>
      </w:pPr>
      <w:r w:rsidRPr="00123E5D">
        <w:rPr>
          <w:rStyle w:val="Appelnotedebasdep"/>
          <w:rFonts w:ascii="Raleway" w:hAnsi="Raleway"/>
          <w:sz w:val="16"/>
          <w:szCs w:val="16"/>
        </w:rPr>
        <w:footnoteRef/>
      </w:r>
      <w:r w:rsidRPr="00123E5D">
        <w:rPr>
          <w:rFonts w:ascii="Raleway" w:hAnsi="Raleway"/>
          <w:sz w:val="16"/>
          <w:szCs w:val="16"/>
        </w:rPr>
        <w:t xml:space="preserve"> Hors FBCF (formation brute de capital fixe) pour compte propre, production marchande et paiements partiels, elle correspond à la consommation finale « autoconsommée » par les administrations publiques.</w:t>
      </w:r>
    </w:p>
  </w:footnote>
  <w:footnote w:id="5">
    <w:p w14:paraId="4EB3C88D" w14:textId="2EDBB061" w:rsidR="00B52494" w:rsidRPr="00123E5D" w:rsidRDefault="00B52494" w:rsidP="00624473">
      <w:pPr>
        <w:pStyle w:val="Notedebasdepage"/>
        <w:spacing w:line="240" w:lineRule="auto"/>
        <w:rPr>
          <w:rFonts w:ascii="Raleway" w:hAnsi="Raleway"/>
          <w:sz w:val="16"/>
          <w:szCs w:val="16"/>
        </w:rPr>
      </w:pPr>
      <w:r w:rsidRPr="00123E5D">
        <w:rPr>
          <w:rStyle w:val="Appelnotedebasdep"/>
          <w:rFonts w:ascii="Raleway" w:hAnsi="Raleway"/>
          <w:sz w:val="16"/>
          <w:szCs w:val="16"/>
        </w:rPr>
        <w:footnoteRef/>
      </w:r>
      <w:r w:rsidRPr="00123E5D">
        <w:rPr>
          <w:rFonts w:ascii="Raleway" w:hAnsi="Raleway"/>
          <w:sz w:val="16"/>
          <w:szCs w:val="16"/>
        </w:rPr>
        <w:t xml:space="preserve"> Les dépenses du supérieur correspondent à la filière STAPS (sciences et techniques des activités physiques et sportives). L’INSEP (Institut national du sport, de l’expertise et de la performance) est pour sa part, sous la tutelle du ministère chargé des sports. </w:t>
      </w:r>
    </w:p>
  </w:footnote>
  <w:footnote w:id="6">
    <w:p w14:paraId="6221B831" w14:textId="27E1B9E1" w:rsidR="00B52494" w:rsidRPr="00123E5D" w:rsidRDefault="00B52494" w:rsidP="00624473">
      <w:pPr>
        <w:pStyle w:val="Notedebasdepage"/>
        <w:spacing w:line="240" w:lineRule="auto"/>
        <w:rPr>
          <w:rFonts w:ascii="Raleway" w:hAnsi="Raleway"/>
          <w:sz w:val="16"/>
          <w:szCs w:val="16"/>
        </w:rPr>
      </w:pPr>
      <w:r w:rsidRPr="00123E5D">
        <w:rPr>
          <w:rStyle w:val="Appelnotedebasdep"/>
          <w:rFonts w:ascii="Raleway" w:hAnsi="Raleway"/>
          <w:sz w:val="16"/>
          <w:szCs w:val="16"/>
        </w:rPr>
        <w:footnoteRef/>
      </w:r>
      <w:r w:rsidRPr="00123E5D">
        <w:rPr>
          <w:rFonts w:ascii="Raleway" w:hAnsi="Raleway"/>
          <w:sz w:val="16"/>
          <w:szCs w:val="16"/>
        </w:rPr>
        <w:t xml:space="preserve"> </w:t>
      </w:r>
      <w:hyperlink r:id="rId2" w:history="1">
        <w:r w:rsidR="005D0268" w:rsidRPr="00123E5D">
          <w:rPr>
            <w:rStyle w:val="Lienhypertexte"/>
            <w:rFonts w:ascii="Raleway" w:hAnsi="Raleway"/>
            <w:sz w:val="16"/>
            <w:szCs w:val="16"/>
          </w:rPr>
          <w:t>Les comptes de la Nation en 2022 - Insee Résultats</w:t>
        </w:r>
      </w:hyperlink>
    </w:p>
  </w:footnote>
  <w:footnote w:id="7">
    <w:p w14:paraId="42A40A04" w14:textId="036337D4" w:rsidR="00B52494" w:rsidRPr="00123E5D" w:rsidRDefault="00B52494" w:rsidP="00624473">
      <w:pPr>
        <w:pStyle w:val="Notedebasdepage"/>
        <w:spacing w:line="240" w:lineRule="auto"/>
        <w:rPr>
          <w:rFonts w:ascii="Raleway" w:hAnsi="Raleway"/>
          <w:sz w:val="16"/>
          <w:szCs w:val="16"/>
        </w:rPr>
      </w:pPr>
      <w:r w:rsidRPr="00123E5D">
        <w:rPr>
          <w:rStyle w:val="Appelnotedebasdep"/>
          <w:rFonts w:ascii="Raleway" w:hAnsi="Raleway"/>
          <w:sz w:val="16"/>
          <w:szCs w:val="16"/>
        </w:rPr>
        <w:footnoteRef/>
      </w:r>
      <w:r w:rsidRPr="00123E5D">
        <w:rPr>
          <w:rFonts w:ascii="Raleway" w:hAnsi="Raleway"/>
          <w:sz w:val="16"/>
          <w:szCs w:val="16"/>
        </w:rPr>
        <w:t xml:space="preserve"> Dietsch B., 2018, </w:t>
      </w:r>
      <w:r w:rsidRPr="00123E5D">
        <w:rPr>
          <w:rFonts w:ascii="Raleway" w:hAnsi="Raleway"/>
          <w:i/>
          <w:sz w:val="16"/>
          <w:szCs w:val="16"/>
        </w:rPr>
        <w:t>Estimer le poids économique du sport : méthodologie</w:t>
      </w:r>
      <w:r w:rsidRPr="00123E5D">
        <w:rPr>
          <w:rFonts w:ascii="Raleway" w:hAnsi="Raleway"/>
          <w:sz w:val="16"/>
          <w:szCs w:val="16"/>
        </w:rPr>
        <w:t>, INJEP Notes &amp; rapports/Note thématique (https://injep.fr/publication/estimer-le-poids-economique-du-sport-methodologie/)</w:t>
      </w:r>
    </w:p>
  </w:footnote>
  <w:footnote w:id="8">
    <w:p w14:paraId="507A4418" w14:textId="10616449" w:rsidR="00B52494" w:rsidRPr="00123E5D" w:rsidRDefault="00B52494" w:rsidP="00624473">
      <w:pPr>
        <w:pStyle w:val="Notedebasdepage"/>
        <w:spacing w:line="240" w:lineRule="auto"/>
        <w:rPr>
          <w:rFonts w:ascii="Raleway" w:hAnsi="Raleway"/>
          <w:sz w:val="16"/>
          <w:szCs w:val="16"/>
        </w:rPr>
      </w:pPr>
      <w:r w:rsidRPr="00123E5D">
        <w:rPr>
          <w:rStyle w:val="Appelnotedebasdep"/>
          <w:rFonts w:ascii="Raleway" w:hAnsi="Raleway"/>
          <w:sz w:val="16"/>
          <w:szCs w:val="16"/>
        </w:rPr>
        <w:footnoteRef/>
      </w:r>
      <w:r w:rsidRPr="00123E5D">
        <w:rPr>
          <w:rFonts w:ascii="Raleway" w:hAnsi="Raleway"/>
          <w:sz w:val="16"/>
          <w:szCs w:val="16"/>
        </w:rPr>
        <w:t xml:space="preserve"> En première analyse, les dépenses des ISBLSM sont, de façon analogue à celles des administrations, </w:t>
      </w:r>
      <w:r w:rsidR="00A35224" w:rsidRPr="00123E5D">
        <w:rPr>
          <w:rFonts w:ascii="Raleway" w:hAnsi="Raleway"/>
          <w:sz w:val="16"/>
          <w:szCs w:val="16"/>
        </w:rPr>
        <w:t xml:space="preserve">analysées </w:t>
      </w:r>
      <w:r w:rsidRPr="00123E5D">
        <w:rPr>
          <w:rFonts w:ascii="Raleway" w:hAnsi="Raleway"/>
          <w:sz w:val="16"/>
          <w:szCs w:val="16"/>
        </w:rPr>
        <w:t>en termes de consommation finale des ISBLSM.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50D3"/>
    <w:multiLevelType w:val="hybridMultilevel"/>
    <w:tmpl w:val="0F325DCE"/>
    <w:lvl w:ilvl="0" w:tplc="535446BC">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3FE64DA"/>
    <w:multiLevelType w:val="hybridMultilevel"/>
    <w:tmpl w:val="A44CA8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2A6932"/>
    <w:multiLevelType w:val="hybridMultilevel"/>
    <w:tmpl w:val="8AFA276E"/>
    <w:lvl w:ilvl="0" w:tplc="BDE4874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DA3"/>
    <w:rsid w:val="000067DA"/>
    <w:rsid w:val="00014580"/>
    <w:rsid w:val="00014E8A"/>
    <w:rsid w:val="0002191A"/>
    <w:rsid w:val="00036D02"/>
    <w:rsid w:val="00064E90"/>
    <w:rsid w:val="00067742"/>
    <w:rsid w:val="00097594"/>
    <w:rsid w:val="000A103D"/>
    <w:rsid w:val="000A2A46"/>
    <w:rsid w:val="000A33F2"/>
    <w:rsid w:val="000A39AD"/>
    <w:rsid w:val="000B0B83"/>
    <w:rsid w:val="000C016E"/>
    <w:rsid w:val="000C4E95"/>
    <w:rsid w:val="000C79DC"/>
    <w:rsid w:val="00115731"/>
    <w:rsid w:val="00123E5D"/>
    <w:rsid w:val="00131129"/>
    <w:rsid w:val="00132601"/>
    <w:rsid w:val="001440CA"/>
    <w:rsid w:val="00147B0A"/>
    <w:rsid w:val="00151C8D"/>
    <w:rsid w:val="00154F40"/>
    <w:rsid w:val="00166BED"/>
    <w:rsid w:val="001754B4"/>
    <w:rsid w:val="0017573E"/>
    <w:rsid w:val="001802FC"/>
    <w:rsid w:val="00183B10"/>
    <w:rsid w:val="001C4D57"/>
    <w:rsid w:val="001D5D5F"/>
    <w:rsid w:val="001E67D4"/>
    <w:rsid w:val="001F45DA"/>
    <w:rsid w:val="00214207"/>
    <w:rsid w:val="0023397E"/>
    <w:rsid w:val="00260DB6"/>
    <w:rsid w:val="00261D02"/>
    <w:rsid w:val="00270A91"/>
    <w:rsid w:val="002A5F2E"/>
    <w:rsid w:val="002A7A46"/>
    <w:rsid w:val="002E43A1"/>
    <w:rsid w:val="002E75EB"/>
    <w:rsid w:val="003151B3"/>
    <w:rsid w:val="0031569B"/>
    <w:rsid w:val="003158B0"/>
    <w:rsid w:val="0032125B"/>
    <w:rsid w:val="00357260"/>
    <w:rsid w:val="0036013F"/>
    <w:rsid w:val="00364093"/>
    <w:rsid w:val="00384435"/>
    <w:rsid w:val="003A0038"/>
    <w:rsid w:val="003A3EE3"/>
    <w:rsid w:val="003A4FD2"/>
    <w:rsid w:val="003B1399"/>
    <w:rsid w:val="003D1675"/>
    <w:rsid w:val="003D4ADC"/>
    <w:rsid w:val="003E47B9"/>
    <w:rsid w:val="00400B56"/>
    <w:rsid w:val="0041300A"/>
    <w:rsid w:val="00420023"/>
    <w:rsid w:val="0042306D"/>
    <w:rsid w:val="00425562"/>
    <w:rsid w:val="004401A0"/>
    <w:rsid w:val="00443E88"/>
    <w:rsid w:val="00455532"/>
    <w:rsid w:val="004569FA"/>
    <w:rsid w:val="0047356F"/>
    <w:rsid w:val="004811B0"/>
    <w:rsid w:val="00481D16"/>
    <w:rsid w:val="0049150B"/>
    <w:rsid w:val="00495D01"/>
    <w:rsid w:val="004A04BD"/>
    <w:rsid w:val="004C5AD0"/>
    <w:rsid w:val="004F6262"/>
    <w:rsid w:val="005102CC"/>
    <w:rsid w:val="0051313A"/>
    <w:rsid w:val="00522576"/>
    <w:rsid w:val="005347E9"/>
    <w:rsid w:val="00540BC8"/>
    <w:rsid w:val="005441DC"/>
    <w:rsid w:val="00575225"/>
    <w:rsid w:val="005942D7"/>
    <w:rsid w:val="005A7CE1"/>
    <w:rsid w:val="005C340F"/>
    <w:rsid w:val="005C64FA"/>
    <w:rsid w:val="005D0268"/>
    <w:rsid w:val="005D14D2"/>
    <w:rsid w:val="005D68A9"/>
    <w:rsid w:val="005E710A"/>
    <w:rsid w:val="005F2B2B"/>
    <w:rsid w:val="00624473"/>
    <w:rsid w:val="00661B23"/>
    <w:rsid w:val="0067439F"/>
    <w:rsid w:val="006806D9"/>
    <w:rsid w:val="006A01ED"/>
    <w:rsid w:val="006A2279"/>
    <w:rsid w:val="006B073B"/>
    <w:rsid w:val="006C14B4"/>
    <w:rsid w:val="006C2F1B"/>
    <w:rsid w:val="006D2C2B"/>
    <w:rsid w:val="006D408D"/>
    <w:rsid w:val="00706C2A"/>
    <w:rsid w:val="00710038"/>
    <w:rsid w:val="00725716"/>
    <w:rsid w:val="00727E2F"/>
    <w:rsid w:val="007364C9"/>
    <w:rsid w:val="00736867"/>
    <w:rsid w:val="00747950"/>
    <w:rsid w:val="007510A5"/>
    <w:rsid w:val="007643D7"/>
    <w:rsid w:val="007778A9"/>
    <w:rsid w:val="00780937"/>
    <w:rsid w:val="00784503"/>
    <w:rsid w:val="007B001F"/>
    <w:rsid w:val="007B6006"/>
    <w:rsid w:val="007C2A33"/>
    <w:rsid w:val="007E5B99"/>
    <w:rsid w:val="00801F05"/>
    <w:rsid w:val="008025D9"/>
    <w:rsid w:val="00847D90"/>
    <w:rsid w:val="008547C1"/>
    <w:rsid w:val="00855300"/>
    <w:rsid w:val="00881F6B"/>
    <w:rsid w:val="008962E3"/>
    <w:rsid w:val="008D4F76"/>
    <w:rsid w:val="008E3E26"/>
    <w:rsid w:val="008E696F"/>
    <w:rsid w:val="008F0EE8"/>
    <w:rsid w:val="009171EC"/>
    <w:rsid w:val="00921428"/>
    <w:rsid w:val="00924E64"/>
    <w:rsid w:val="00925A46"/>
    <w:rsid w:val="009264BE"/>
    <w:rsid w:val="00933FB5"/>
    <w:rsid w:val="00934A21"/>
    <w:rsid w:val="00945FA7"/>
    <w:rsid w:val="0096457A"/>
    <w:rsid w:val="0096539E"/>
    <w:rsid w:val="00967AD0"/>
    <w:rsid w:val="0097379E"/>
    <w:rsid w:val="00976AB7"/>
    <w:rsid w:val="009807ED"/>
    <w:rsid w:val="00980B87"/>
    <w:rsid w:val="0099112B"/>
    <w:rsid w:val="009B3026"/>
    <w:rsid w:val="009B65E9"/>
    <w:rsid w:val="009C76EA"/>
    <w:rsid w:val="009D523A"/>
    <w:rsid w:val="009E47E9"/>
    <w:rsid w:val="009F5A1A"/>
    <w:rsid w:val="00A30518"/>
    <w:rsid w:val="00A322DF"/>
    <w:rsid w:val="00A35224"/>
    <w:rsid w:val="00A36959"/>
    <w:rsid w:val="00A37A7C"/>
    <w:rsid w:val="00A4671A"/>
    <w:rsid w:val="00A4728F"/>
    <w:rsid w:val="00A60309"/>
    <w:rsid w:val="00A62E53"/>
    <w:rsid w:val="00A656D4"/>
    <w:rsid w:val="00A717DF"/>
    <w:rsid w:val="00A902F7"/>
    <w:rsid w:val="00AA72B2"/>
    <w:rsid w:val="00AC38B6"/>
    <w:rsid w:val="00AE2C50"/>
    <w:rsid w:val="00AE424C"/>
    <w:rsid w:val="00AE7CA9"/>
    <w:rsid w:val="00AF0753"/>
    <w:rsid w:val="00B13DC9"/>
    <w:rsid w:val="00B1617E"/>
    <w:rsid w:val="00B21DA3"/>
    <w:rsid w:val="00B43CD4"/>
    <w:rsid w:val="00B4659E"/>
    <w:rsid w:val="00B4775F"/>
    <w:rsid w:val="00B52494"/>
    <w:rsid w:val="00B560B9"/>
    <w:rsid w:val="00B83885"/>
    <w:rsid w:val="00BD7CC1"/>
    <w:rsid w:val="00BE14D5"/>
    <w:rsid w:val="00BE3D3D"/>
    <w:rsid w:val="00BE5A11"/>
    <w:rsid w:val="00BF4DE0"/>
    <w:rsid w:val="00BF6676"/>
    <w:rsid w:val="00C03384"/>
    <w:rsid w:val="00C40361"/>
    <w:rsid w:val="00CA27BA"/>
    <w:rsid w:val="00CA7EA7"/>
    <w:rsid w:val="00CC67D7"/>
    <w:rsid w:val="00D06232"/>
    <w:rsid w:val="00D10D37"/>
    <w:rsid w:val="00D128EE"/>
    <w:rsid w:val="00D27600"/>
    <w:rsid w:val="00D36F43"/>
    <w:rsid w:val="00D415EB"/>
    <w:rsid w:val="00D42B4F"/>
    <w:rsid w:val="00D52CE8"/>
    <w:rsid w:val="00D6087A"/>
    <w:rsid w:val="00D71EBC"/>
    <w:rsid w:val="00D80B0B"/>
    <w:rsid w:val="00DA6CE5"/>
    <w:rsid w:val="00DA6E53"/>
    <w:rsid w:val="00DD0B66"/>
    <w:rsid w:val="00DD3C14"/>
    <w:rsid w:val="00DE2FCD"/>
    <w:rsid w:val="00E110BF"/>
    <w:rsid w:val="00E13607"/>
    <w:rsid w:val="00E265AD"/>
    <w:rsid w:val="00E3267A"/>
    <w:rsid w:val="00E8154F"/>
    <w:rsid w:val="00E84E8D"/>
    <w:rsid w:val="00E85991"/>
    <w:rsid w:val="00E94AF0"/>
    <w:rsid w:val="00EC080E"/>
    <w:rsid w:val="00EC53F8"/>
    <w:rsid w:val="00EF1150"/>
    <w:rsid w:val="00EF4CF4"/>
    <w:rsid w:val="00F06BEA"/>
    <w:rsid w:val="00F10937"/>
    <w:rsid w:val="00F16A39"/>
    <w:rsid w:val="00F243E1"/>
    <w:rsid w:val="00F27482"/>
    <w:rsid w:val="00F41875"/>
    <w:rsid w:val="00F5768D"/>
    <w:rsid w:val="00F75B79"/>
    <w:rsid w:val="00F85545"/>
    <w:rsid w:val="00F879FD"/>
    <w:rsid w:val="00F946A1"/>
    <w:rsid w:val="00FB317E"/>
    <w:rsid w:val="00FD757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62A805"/>
  <w15:docId w15:val="{FB292AF4-C544-4CFC-91B1-CB53896B1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E53"/>
    <w:pPr>
      <w:spacing w:after="120" w:line="300" w:lineRule="atLeast"/>
      <w:jc w:val="both"/>
    </w:pPr>
    <w:rPr>
      <w:rFonts w:ascii="Raleway" w:hAnsi="Raleway" w:cs="Calibri"/>
      <w:w w:val="95"/>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A7EA7"/>
    <w:pPr>
      <w:spacing w:after="150"/>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C2F1B"/>
    <w:rPr>
      <w:rFonts w:ascii="Tahoma" w:hAnsi="Tahoma" w:cs="Tahoma"/>
      <w:sz w:val="16"/>
      <w:szCs w:val="16"/>
    </w:rPr>
  </w:style>
  <w:style w:type="character" w:customStyle="1" w:styleId="TextedebullesCar">
    <w:name w:val="Texte de bulles Car"/>
    <w:basedOn w:val="Policepardfaut"/>
    <w:link w:val="Textedebulles"/>
    <w:uiPriority w:val="99"/>
    <w:semiHidden/>
    <w:rsid w:val="006C2F1B"/>
    <w:rPr>
      <w:rFonts w:ascii="Tahoma" w:hAnsi="Tahoma" w:cs="Tahoma"/>
      <w:sz w:val="16"/>
      <w:szCs w:val="16"/>
    </w:rPr>
  </w:style>
  <w:style w:type="paragraph" w:styleId="Lgende">
    <w:name w:val="caption"/>
    <w:basedOn w:val="Normal"/>
    <w:next w:val="Normal"/>
    <w:uiPriority w:val="35"/>
    <w:unhideWhenUsed/>
    <w:qFormat/>
    <w:rsid w:val="006C2F1B"/>
    <w:pPr>
      <w:spacing w:after="200"/>
    </w:pPr>
    <w:rPr>
      <w:b/>
      <w:bCs/>
      <w:color w:val="4F81BD" w:themeColor="accent1"/>
      <w:sz w:val="18"/>
      <w:szCs w:val="18"/>
    </w:rPr>
  </w:style>
  <w:style w:type="character" w:styleId="Marquedecommentaire">
    <w:name w:val="annotation reference"/>
    <w:basedOn w:val="Policepardfaut"/>
    <w:uiPriority w:val="99"/>
    <w:semiHidden/>
    <w:unhideWhenUsed/>
    <w:rsid w:val="00443E88"/>
    <w:rPr>
      <w:sz w:val="16"/>
      <w:szCs w:val="16"/>
    </w:rPr>
  </w:style>
  <w:style w:type="paragraph" w:styleId="Commentaire">
    <w:name w:val="annotation text"/>
    <w:basedOn w:val="Normal"/>
    <w:link w:val="CommentaireCar"/>
    <w:uiPriority w:val="99"/>
    <w:semiHidden/>
    <w:unhideWhenUsed/>
    <w:rsid w:val="00443E88"/>
    <w:rPr>
      <w:szCs w:val="20"/>
    </w:rPr>
  </w:style>
  <w:style w:type="character" w:customStyle="1" w:styleId="CommentaireCar">
    <w:name w:val="Commentaire Car"/>
    <w:basedOn w:val="Policepardfaut"/>
    <w:link w:val="Commentaire"/>
    <w:uiPriority w:val="99"/>
    <w:semiHidden/>
    <w:rsid w:val="00443E88"/>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443E88"/>
    <w:rPr>
      <w:b/>
      <w:bCs/>
    </w:rPr>
  </w:style>
  <w:style w:type="character" w:customStyle="1" w:styleId="ObjetducommentaireCar">
    <w:name w:val="Objet du commentaire Car"/>
    <w:basedOn w:val="CommentaireCar"/>
    <w:link w:val="Objetducommentaire"/>
    <w:uiPriority w:val="99"/>
    <w:semiHidden/>
    <w:rsid w:val="00443E88"/>
    <w:rPr>
      <w:rFonts w:ascii="Calibri" w:hAnsi="Calibri" w:cs="Calibri"/>
      <w:b/>
      <w:bCs/>
      <w:sz w:val="20"/>
      <w:szCs w:val="20"/>
    </w:rPr>
  </w:style>
  <w:style w:type="paragraph" w:styleId="Rvision">
    <w:name w:val="Revision"/>
    <w:hidden/>
    <w:uiPriority w:val="99"/>
    <w:semiHidden/>
    <w:rsid w:val="00443E88"/>
    <w:pPr>
      <w:spacing w:after="0" w:line="240" w:lineRule="auto"/>
    </w:pPr>
    <w:rPr>
      <w:rFonts w:ascii="Calibri" w:hAnsi="Calibri" w:cs="Calibri"/>
    </w:rPr>
  </w:style>
  <w:style w:type="character" w:styleId="Lienhypertexte">
    <w:name w:val="Hyperlink"/>
    <w:basedOn w:val="Policepardfaut"/>
    <w:uiPriority w:val="99"/>
    <w:unhideWhenUsed/>
    <w:rsid w:val="000A2A46"/>
    <w:rPr>
      <w:color w:val="0000FF" w:themeColor="hyperlink"/>
      <w:u w:val="single"/>
    </w:rPr>
  </w:style>
  <w:style w:type="paragraph" w:styleId="Paragraphedeliste">
    <w:name w:val="List Paragraph"/>
    <w:basedOn w:val="Normal"/>
    <w:uiPriority w:val="34"/>
    <w:qFormat/>
    <w:rsid w:val="000A2A46"/>
    <w:pPr>
      <w:spacing w:after="200" w:line="276" w:lineRule="auto"/>
      <w:ind w:left="720"/>
      <w:contextualSpacing/>
    </w:pPr>
    <w:rPr>
      <w:rFonts w:asciiTheme="minorHAnsi" w:hAnsiTheme="minorHAnsi" w:cstheme="minorBidi"/>
    </w:rPr>
  </w:style>
  <w:style w:type="paragraph" w:styleId="Notedebasdepage">
    <w:name w:val="footnote text"/>
    <w:basedOn w:val="Normal"/>
    <w:link w:val="NotedebasdepageCar"/>
    <w:uiPriority w:val="99"/>
    <w:semiHidden/>
    <w:unhideWhenUsed/>
    <w:rsid w:val="009E47E9"/>
    <w:rPr>
      <w:rFonts w:asciiTheme="minorHAnsi" w:hAnsiTheme="minorHAnsi" w:cstheme="minorBidi"/>
      <w:szCs w:val="20"/>
    </w:rPr>
  </w:style>
  <w:style w:type="character" w:customStyle="1" w:styleId="NotedebasdepageCar">
    <w:name w:val="Note de bas de page Car"/>
    <w:basedOn w:val="Policepardfaut"/>
    <w:link w:val="Notedebasdepage"/>
    <w:uiPriority w:val="99"/>
    <w:semiHidden/>
    <w:rsid w:val="009E47E9"/>
    <w:rPr>
      <w:sz w:val="20"/>
      <w:szCs w:val="20"/>
    </w:rPr>
  </w:style>
  <w:style w:type="character" w:styleId="Appelnotedebasdep">
    <w:name w:val="footnote reference"/>
    <w:basedOn w:val="Policepardfaut"/>
    <w:uiPriority w:val="99"/>
    <w:semiHidden/>
    <w:unhideWhenUsed/>
    <w:rsid w:val="009E47E9"/>
    <w:rPr>
      <w:vertAlign w:val="superscript"/>
    </w:rPr>
  </w:style>
  <w:style w:type="paragraph" w:styleId="En-tte">
    <w:name w:val="header"/>
    <w:basedOn w:val="Normal"/>
    <w:link w:val="En-tteCar"/>
    <w:uiPriority w:val="99"/>
    <w:unhideWhenUsed/>
    <w:rsid w:val="0049150B"/>
    <w:pPr>
      <w:tabs>
        <w:tab w:val="center" w:pos="4536"/>
        <w:tab w:val="right" w:pos="9072"/>
      </w:tabs>
    </w:pPr>
  </w:style>
  <w:style w:type="character" w:customStyle="1" w:styleId="En-tteCar">
    <w:name w:val="En-tête Car"/>
    <w:basedOn w:val="Policepardfaut"/>
    <w:link w:val="En-tte"/>
    <w:uiPriority w:val="99"/>
    <w:rsid w:val="0049150B"/>
    <w:rPr>
      <w:rFonts w:ascii="Calibri" w:hAnsi="Calibri" w:cs="Calibri"/>
    </w:rPr>
  </w:style>
  <w:style w:type="paragraph" w:styleId="Pieddepage">
    <w:name w:val="footer"/>
    <w:basedOn w:val="Normal"/>
    <w:link w:val="PieddepageCar"/>
    <w:uiPriority w:val="99"/>
    <w:unhideWhenUsed/>
    <w:rsid w:val="0049150B"/>
    <w:pPr>
      <w:tabs>
        <w:tab w:val="center" w:pos="4536"/>
        <w:tab w:val="right" w:pos="9072"/>
      </w:tabs>
    </w:pPr>
  </w:style>
  <w:style w:type="character" w:customStyle="1" w:styleId="PieddepageCar">
    <w:name w:val="Pied de page Car"/>
    <w:basedOn w:val="Policepardfaut"/>
    <w:link w:val="Pieddepage"/>
    <w:uiPriority w:val="99"/>
    <w:rsid w:val="0049150B"/>
    <w:rPr>
      <w:rFonts w:ascii="Calibri" w:hAnsi="Calibri" w:cs="Calibri"/>
    </w:rPr>
  </w:style>
  <w:style w:type="character" w:styleId="Lienhypertextesuivivisit">
    <w:name w:val="FollowedHyperlink"/>
    <w:basedOn w:val="Policepardfaut"/>
    <w:uiPriority w:val="99"/>
    <w:semiHidden/>
    <w:unhideWhenUsed/>
    <w:rsid w:val="005752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596343">
      <w:bodyDiv w:val="1"/>
      <w:marLeft w:val="0"/>
      <w:marRight w:val="0"/>
      <w:marTop w:val="0"/>
      <w:marBottom w:val="0"/>
      <w:divBdr>
        <w:top w:val="none" w:sz="0" w:space="0" w:color="auto"/>
        <w:left w:val="none" w:sz="0" w:space="0" w:color="auto"/>
        <w:bottom w:val="none" w:sz="0" w:space="0" w:color="auto"/>
        <w:right w:val="none" w:sz="0" w:space="0" w:color="auto"/>
      </w:divBdr>
      <w:divsChild>
        <w:div w:id="440534689">
          <w:marLeft w:val="0"/>
          <w:marRight w:val="0"/>
          <w:marTop w:val="0"/>
          <w:marBottom w:val="600"/>
          <w:divBdr>
            <w:top w:val="none" w:sz="0" w:space="0" w:color="auto"/>
            <w:left w:val="none" w:sz="0" w:space="0" w:color="auto"/>
            <w:bottom w:val="none" w:sz="0" w:space="0" w:color="auto"/>
            <w:right w:val="none" w:sz="0" w:space="0" w:color="auto"/>
          </w:divBdr>
          <w:divsChild>
            <w:div w:id="1699550964">
              <w:marLeft w:val="0"/>
              <w:marRight w:val="0"/>
              <w:marTop w:val="0"/>
              <w:marBottom w:val="0"/>
              <w:divBdr>
                <w:top w:val="none" w:sz="0" w:space="0" w:color="auto"/>
                <w:left w:val="none" w:sz="0" w:space="0" w:color="auto"/>
                <w:bottom w:val="none" w:sz="0" w:space="0" w:color="auto"/>
                <w:right w:val="none" w:sz="0" w:space="0" w:color="auto"/>
              </w:divBdr>
              <w:divsChild>
                <w:div w:id="1211267243">
                  <w:marLeft w:val="0"/>
                  <w:marRight w:val="0"/>
                  <w:marTop w:val="0"/>
                  <w:marBottom w:val="0"/>
                  <w:divBdr>
                    <w:top w:val="none" w:sz="0" w:space="0" w:color="auto"/>
                    <w:left w:val="none" w:sz="0" w:space="0" w:color="auto"/>
                    <w:bottom w:val="none" w:sz="0" w:space="0" w:color="auto"/>
                    <w:right w:val="none" w:sz="0" w:space="0" w:color="auto"/>
                  </w:divBdr>
                  <w:divsChild>
                    <w:div w:id="1841045498">
                      <w:marLeft w:val="0"/>
                      <w:marRight w:val="0"/>
                      <w:marTop w:val="0"/>
                      <w:marBottom w:val="0"/>
                      <w:divBdr>
                        <w:top w:val="none" w:sz="0" w:space="0" w:color="auto"/>
                        <w:left w:val="none" w:sz="0" w:space="0" w:color="auto"/>
                        <w:bottom w:val="none" w:sz="0" w:space="0" w:color="auto"/>
                        <w:right w:val="none" w:sz="0" w:space="0" w:color="auto"/>
                      </w:divBdr>
                      <w:divsChild>
                        <w:div w:id="1545825901">
                          <w:marLeft w:val="0"/>
                          <w:marRight w:val="0"/>
                          <w:marTop w:val="0"/>
                          <w:marBottom w:val="0"/>
                          <w:divBdr>
                            <w:top w:val="none" w:sz="0" w:space="0" w:color="auto"/>
                            <w:left w:val="none" w:sz="0" w:space="0" w:color="auto"/>
                            <w:bottom w:val="none" w:sz="0" w:space="0" w:color="auto"/>
                            <w:right w:val="none" w:sz="0" w:space="0" w:color="auto"/>
                          </w:divBdr>
                          <w:divsChild>
                            <w:div w:id="305667900">
                              <w:marLeft w:val="0"/>
                              <w:marRight w:val="0"/>
                              <w:marTop w:val="0"/>
                              <w:marBottom w:val="0"/>
                              <w:divBdr>
                                <w:top w:val="none" w:sz="0" w:space="0" w:color="auto"/>
                                <w:left w:val="none" w:sz="0" w:space="0" w:color="auto"/>
                                <w:bottom w:val="none" w:sz="0" w:space="0" w:color="auto"/>
                                <w:right w:val="none" w:sz="0" w:space="0" w:color="auto"/>
                              </w:divBdr>
                              <w:divsChild>
                                <w:div w:id="6557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2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a.gouv.fr/fr/datasets/dgddi-nomenclature-combinee-a-8-chiffres-nc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nsee.fr/fr/statistiques/6793644" TargetMode="External"/><Relationship Id="rId1" Type="http://schemas.openxmlformats.org/officeDocument/2006/relationships/hyperlink" Target="https://www.insee.fr/fr/metadonnees/source/fichier/Tome3_conso_Base2020.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99765-F3C6-4E2A-87EB-3EF8B139A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2260</Words>
  <Characters>12430</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Ministère du travail</Company>
  <LinksUpToDate>false</LinksUpToDate>
  <CharactersWithSpaces>14661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INJEP</dc:creator>
  <cp:lastModifiedBy>MARIANNE AUTAIN</cp:lastModifiedBy>
  <cp:revision>3</cp:revision>
  <cp:lastPrinted>2017-09-18T16:03:00Z</cp:lastPrinted>
  <dcterms:created xsi:type="dcterms:W3CDTF">2025-02-14T08:51:00Z</dcterms:created>
  <dcterms:modified xsi:type="dcterms:W3CDTF">2025-02-14T09:03:00Z</dcterms:modified>
</cp:coreProperties>
</file>