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50</w:t>
      </w:r>
      <w:r w:rsidR="00E67445">
        <w:rPr>
          <w:b/>
        </w:rPr>
        <w:t xml:space="preserve"> </w:t>
      </w:r>
      <w:r w:rsidR="00146209">
        <w:rPr>
          <w:b/>
        </w:rPr>
        <w:t xml:space="preserve">du </w:t>
      </w:r>
      <w:r w:rsidR="00610DF7">
        <w:rPr>
          <w:b/>
        </w:rPr>
        <w:t>19</w:t>
      </w:r>
      <w:r w:rsidR="00146209">
        <w:rPr>
          <w:b/>
        </w:rPr>
        <w:t xml:space="preserve"> </w:t>
      </w:r>
      <w:r w:rsidR="005431F6">
        <w:rPr>
          <w:b/>
        </w:rPr>
        <w:t>mars</w:t>
      </w:r>
      <w:r w:rsidR="00146209">
        <w:rPr>
          <w:b/>
        </w:rPr>
        <w:t xml:space="preserve"> </w:t>
      </w:r>
      <w:r w:rsidR="00E67445">
        <w:rPr>
          <w:b/>
        </w:rPr>
        <w:t>202</w:t>
      </w:r>
      <w:r w:rsidR="00146209">
        <w:rPr>
          <w:b/>
        </w:rPr>
        <w:t>5</w:t>
      </w:r>
    </w:p>
    <w:p w:rsidR="000B7B28" w:rsidRDefault="00610DF7" w:rsidP="00146209">
      <w:pPr>
        <w:jc w:val="center"/>
        <w:rPr>
          <w:rFonts w:cstheme="minorHAnsi"/>
          <w:b/>
        </w:rPr>
      </w:pPr>
      <w:r>
        <w:rPr>
          <w:rFonts w:cstheme="minorHAnsi"/>
          <w:b/>
        </w:rPr>
        <w:t>[</w:t>
      </w:r>
      <w:r w:rsidR="005431F6" w:rsidRPr="005431F6">
        <w:rPr>
          <w:rFonts w:cstheme="minorHAnsi"/>
          <w:b/>
        </w:rPr>
        <w:t>P</w:t>
      </w:r>
      <w:r>
        <w:rPr>
          <w:rFonts w:cstheme="minorHAnsi"/>
          <w:b/>
        </w:rPr>
        <w:t>ARCOURSUP]</w:t>
      </w:r>
      <w:r w:rsidR="005431F6" w:rsidRPr="005431F6">
        <w:rPr>
          <w:rFonts w:cstheme="minorHAnsi"/>
          <w:b/>
        </w:rPr>
        <w:t xml:space="preserve"> </w:t>
      </w:r>
      <w:r w:rsidR="005F4AF5">
        <w:rPr>
          <w:rFonts w:cstheme="minorHAnsi"/>
          <w:b/>
        </w:rPr>
        <w:t>(p</w:t>
      </w:r>
      <w:r w:rsidRPr="00610DF7">
        <w:rPr>
          <w:rFonts w:cstheme="minorHAnsi"/>
          <w:b/>
        </w:rPr>
        <w:t>rocédure de préinscription et calendrier</w:t>
      </w:r>
      <w:r w:rsidR="005F4AF5">
        <w:rPr>
          <w:rFonts w:cstheme="minorHAnsi"/>
          <w:b/>
        </w:rPr>
        <w:t>) et mobilité étudiante</w:t>
      </w:r>
      <w:r w:rsidR="00146209">
        <w:rPr>
          <w:rFonts w:cstheme="minorHAnsi"/>
          <w:b/>
        </w:rPr>
        <w:br/>
      </w:r>
    </w:p>
    <w:p w:rsidR="00BE7E95" w:rsidRDefault="00BE7E95" w:rsidP="00146209">
      <w:pPr>
        <w:jc w:val="center"/>
        <w:rPr>
          <w:rFonts w:cstheme="minorHAnsi"/>
          <w:b/>
        </w:rPr>
      </w:pPr>
    </w:p>
    <w:p w:rsidR="00610DF7" w:rsidRPr="00610DF7" w:rsidRDefault="00FB426A" w:rsidP="00610DF7">
      <w:pPr>
        <w:pStyle w:val="Titre1"/>
        <w:shd w:val="clear" w:color="auto" w:fill="FFFFFF"/>
        <w:spacing w:before="0" w:after="75"/>
        <w:rPr>
          <w:rFonts w:asciiTheme="minorHAnsi" w:hAnsiTheme="minorHAnsi" w:cstheme="minorHAnsi"/>
          <w:color w:val="auto"/>
          <w:sz w:val="22"/>
          <w:szCs w:val="22"/>
        </w:rPr>
      </w:pPr>
      <w:hyperlink r:id="rId10" w:history="1">
        <w:r w:rsidR="00610DF7" w:rsidRPr="00610DF7">
          <w:rPr>
            <w:rStyle w:val="Lienhypertexte"/>
            <w:rFonts w:asciiTheme="minorHAnsi" w:hAnsiTheme="minorHAnsi" w:cstheme="minorHAnsi"/>
            <w:bCs/>
            <w:sz w:val="22"/>
            <w:szCs w:val="22"/>
          </w:rPr>
          <w:t>Décret n° 2025-214 du 4 mars 2025</w:t>
        </w:r>
      </w:hyperlink>
      <w:r w:rsidR="00610DF7" w:rsidRPr="00610DF7">
        <w:rPr>
          <w:rFonts w:asciiTheme="minorHAnsi" w:hAnsiTheme="minorHAnsi" w:cstheme="minorHAnsi"/>
          <w:bCs/>
          <w:color w:val="auto"/>
          <w:sz w:val="22"/>
          <w:szCs w:val="22"/>
        </w:rPr>
        <w:t xml:space="preserve"> relatif à la procédure nationale de préinscription pour l'accès aux formations initiales du premier cycle de l'enseignement supérieur et modifiant le code de l'éducation</w:t>
      </w:r>
    </w:p>
    <w:p w:rsidR="00610DF7" w:rsidRPr="00610DF7" w:rsidRDefault="00610DF7" w:rsidP="00610DF7">
      <w:pPr>
        <w:pStyle w:val="Titre1"/>
        <w:shd w:val="clear" w:color="auto" w:fill="FFFFFF"/>
        <w:spacing w:before="0" w:after="75"/>
        <w:rPr>
          <w:rFonts w:asciiTheme="minorHAnsi" w:hAnsiTheme="minorHAnsi" w:cstheme="minorHAnsi"/>
          <w:color w:val="4A5E81"/>
          <w:sz w:val="22"/>
          <w:szCs w:val="22"/>
        </w:rPr>
      </w:pPr>
      <w:r w:rsidRPr="00F617BB">
        <w:rPr>
          <w:rFonts w:asciiTheme="minorHAnsi" w:hAnsiTheme="minorHAnsi" w:cstheme="minorHAnsi"/>
          <w:color w:val="auto"/>
          <w:sz w:val="22"/>
          <w:szCs w:val="22"/>
        </w:rPr>
        <w:br/>
        <w:t>Journal officiel du 6 mars 2025</w:t>
      </w:r>
      <w:r>
        <w:br/>
      </w:r>
      <w:r>
        <w:br/>
      </w:r>
      <w:r w:rsidRPr="00610DF7">
        <w:rPr>
          <w:rFonts w:asciiTheme="minorHAnsi" w:hAnsiTheme="minorHAnsi" w:cstheme="minorHAnsi"/>
          <w:color w:val="000000"/>
          <w:sz w:val="22"/>
          <w:szCs w:val="22"/>
          <w:shd w:val="clear" w:color="auto" w:fill="FFFFFF"/>
        </w:rPr>
        <w:t xml:space="preserve">Ce décret modifie les règles de fonctionnement de la procédure nationale de préinscription </w:t>
      </w:r>
      <w:proofErr w:type="spellStart"/>
      <w:r w:rsidRPr="00610DF7">
        <w:rPr>
          <w:rFonts w:asciiTheme="minorHAnsi" w:hAnsiTheme="minorHAnsi" w:cstheme="minorHAnsi"/>
          <w:color w:val="000000"/>
          <w:sz w:val="22"/>
          <w:szCs w:val="22"/>
          <w:shd w:val="clear" w:color="auto" w:fill="FFFFFF"/>
        </w:rPr>
        <w:t>Parcoursup</w:t>
      </w:r>
      <w:proofErr w:type="spellEnd"/>
      <w:r w:rsidRPr="00610DF7">
        <w:rPr>
          <w:rFonts w:asciiTheme="minorHAnsi" w:hAnsiTheme="minorHAnsi" w:cstheme="minorHAnsi"/>
          <w:color w:val="000000"/>
          <w:sz w:val="22"/>
          <w:szCs w:val="22"/>
          <w:shd w:val="clear" w:color="auto" w:fill="FFFFFF"/>
        </w:rPr>
        <w:t xml:space="preserve"> afin de faciliter l'orientation des lycéens vers l'enseignement supérieur lorsqu'ils sont hébergés dans un internat de lycée situé dans une académie autre que celle du domicile de leurs représentants légaux. Il permettra à ces lycéens d'être, eu égard à la particularité de leur situation, prioritaire, au sens du V de l'</w:t>
      </w:r>
      <w:hyperlink r:id="rId11" w:tooltip="Code de l'éducation - art. L612-3" w:history="1">
        <w:r w:rsidRPr="00610DF7">
          <w:rPr>
            <w:rStyle w:val="Lienhypertexte"/>
            <w:rFonts w:asciiTheme="minorHAnsi" w:hAnsiTheme="minorHAnsi" w:cstheme="minorHAnsi"/>
            <w:color w:val="4A5E81"/>
            <w:sz w:val="22"/>
            <w:szCs w:val="22"/>
            <w:shd w:val="clear" w:color="auto" w:fill="FFFFFF"/>
          </w:rPr>
          <w:t>article L. 612-3 du code de l'éducation</w:t>
        </w:r>
      </w:hyperlink>
      <w:r w:rsidRPr="00610DF7">
        <w:rPr>
          <w:rFonts w:asciiTheme="minorHAnsi" w:hAnsiTheme="minorHAnsi" w:cstheme="minorHAnsi"/>
          <w:color w:val="000000"/>
          <w:sz w:val="22"/>
          <w:szCs w:val="22"/>
          <w:shd w:val="clear" w:color="auto" w:fill="FFFFFF"/>
        </w:rPr>
        <w:t>, pour l'accès aux licences non sélectives des deux secteurs de rattachement de ces formations.</w:t>
      </w:r>
      <w:r>
        <w:br/>
      </w:r>
      <w:r>
        <w:br/>
      </w:r>
      <w:hyperlink r:id="rId12" w:history="1">
        <w:r w:rsidRPr="00610DF7">
          <w:rPr>
            <w:rStyle w:val="Lienhypertexte"/>
            <w:rFonts w:asciiTheme="minorHAnsi" w:hAnsiTheme="minorHAnsi" w:cstheme="minorHAnsi"/>
            <w:bCs/>
            <w:sz w:val="22"/>
            <w:szCs w:val="22"/>
          </w:rPr>
          <w:t>Arrêté du 6 mars 2025 modifiant l'arrêté du 24 janvier 2025</w:t>
        </w:r>
      </w:hyperlink>
      <w:r w:rsidRPr="00610DF7">
        <w:rPr>
          <w:rFonts w:asciiTheme="minorHAnsi" w:hAnsiTheme="minorHAnsi" w:cstheme="minorHAnsi"/>
          <w:bCs/>
          <w:color w:val="auto"/>
          <w:sz w:val="22"/>
          <w:szCs w:val="22"/>
        </w:rPr>
        <w:t xml:space="preserve"> relatif au calendrier 2025 de la procédure nationale de préinscription pour l'accès dans les formations initiales du premier cycle de l'enseignement supérieur</w:t>
      </w:r>
    </w:p>
    <w:p w:rsidR="005F4AF5" w:rsidRDefault="00610DF7" w:rsidP="005F4AF5">
      <w:pPr>
        <w:rPr>
          <w:rFonts w:cstheme="minorHAnsi"/>
        </w:rPr>
      </w:pPr>
      <w:r w:rsidRPr="00610DF7">
        <w:rPr>
          <w:rFonts w:cstheme="minorHAnsi"/>
        </w:rPr>
        <w:br/>
        <w:t>Journal officiel du 8 mars 2025</w:t>
      </w:r>
      <w:r>
        <w:rPr>
          <w:rFonts w:cstheme="minorHAnsi"/>
        </w:rPr>
        <w:br/>
      </w:r>
      <w:r>
        <w:rPr>
          <w:rFonts w:cstheme="minorHAnsi"/>
        </w:rPr>
        <w:br/>
      </w:r>
      <w:r w:rsidRPr="00610DF7">
        <w:rPr>
          <w:rFonts w:cstheme="minorHAnsi"/>
          <w:color w:val="000000"/>
          <w:shd w:val="clear" w:color="auto" w:fill="FFFFFF"/>
        </w:rPr>
        <w:t>Après le 1° de l'</w:t>
      </w:r>
      <w:hyperlink r:id="rId13" w:tooltip="Arrêté du 24 janvier 2025 - art. 1" w:history="1">
        <w:r w:rsidRPr="00610DF7">
          <w:rPr>
            <w:rStyle w:val="Lienhypertexte"/>
            <w:rFonts w:cstheme="minorHAnsi"/>
            <w:color w:val="2E3B50"/>
            <w:shd w:val="clear" w:color="auto" w:fill="FFFFFF"/>
          </w:rPr>
          <w:t>article 1er de l'arrêté du 24 janvier 2025</w:t>
        </w:r>
      </w:hyperlink>
      <w:r w:rsidRPr="00610DF7">
        <w:rPr>
          <w:rFonts w:cstheme="minorHAnsi"/>
          <w:color w:val="000000"/>
          <w:shd w:val="clear" w:color="auto" w:fill="FFFFFF"/>
        </w:rPr>
        <w:t> susvisé, il est inséré un alinéa ainsi rédigé :</w:t>
      </w:r>
      <w:r w:rsidRPr="00610DF7">
        <w:rPr>
          <w:rFonts w:cstheme="minorHAnsi"/>
          <w:color w:val="000000"/>
        </w:rPr>
        <w:br/>
      </w:r>
      <w:r w:rsidRPr="00610DF7">
        <w:rPr>
          <w:rFonts w:cstheme="minorHAnsi"/>
          <w:color w:val="000000"/>
          <w:shd w:val="clear" w:color="auto" w:fill="FFFFFF"/>
        </w:rPr>
        <w:t>« A titre exceptionnel, les candidats domiciliés à Mayotte et à la Réunion peuvent formuler leurs vœux d'inscription jusqu'au 26 mars 2025, 23 h 59 (heure de Paris) ; ».</w:t>
      </w:r>
      <w:r w:rsidRPr="00610DF7">
        <w:rPr>
          <w:rFonts w:cstheme="minorHAnsi"/>
        </w:rPr>
        <w:br/>
      </w:r>
      <w:r w:rsidR="005F4AF5">
        <w:rPr>
          <w:rFonts w:cstheme="minorHAnsi"/>
        </w:rPr>
        <w:br w:type="page"/>
      </w:r>
    </w:p>
    <w:p w:rsidR="005F4AF5" w:rsidRPr="005F4AF5" w:rsidRDefault="005F4AF5" w:rsidP="005F4AF5">
      <w:pPr>
        <w:pStyle w:val="Titre1"/>
        <w:shd w:val="clear" w:color="auto" w:fill="FFFFFF"/>
        <w:spacing w:before="0" w:after="75"/>
        <w:rPr>
          <w:rFonts w:asciiTheme="minorHAnsi" w:hAnsiTheme="minorHAnsi" w:cstheme="minorHAnsi"/>
          <w:color w:val="auto"/>
          <w:sz w:val="22"/>
          <w:szCs w:val="22"/>
        </w:rPr>
      </w:pPr>
      <w:hyperlink r:id="rId14" w:history="1">
        <w:r w:rsidRPr="005F4AF5">
          <w:rPr>
            <w:rStyle w:val="Lienhypertexte"/>
            <w:rFonts w:asciiTheme="minorHAnsi" w:hAnsiTheme="minorHAnsi" w:cstheme="minorHAnsi"/>
            <w:bCs/>
            <w:sz w:val="22"/>
            <w:szCs w:val="22"/>
          </w:rPr>
          <w:t>Décret n° 2025-235 du 11 mars 2025</w:t>
        </w:r>
      </w:hyperlink>
      <w:r w:rsidRPr="005F4AF5">
        <w:rPr>
          <w:rFonts w:asciiTheme="minorHAnsi" w:hAnsiTheme="minorHAnsi" w:cstheme="minorHAnsi"/>
          <w:bCs/>
          <w:color w:val="auto"/>
          <w:sz w:val="22"/>
          <w:szCs w:val="22"/>
        </w:rPr>
        <w:t xml:space="preserve"> portant publication de l'entente entre le Gouvernement de la République française et le Gouvernement du Québec en matière de mobilité étudiante au niveau universitaire (ensemble deux annexes), signée à Québec le 12 avril 2024</w:t>
      </w:r>
      <w:r>
        <w:rPr>
          <w:rFonts w:asciiTheme="minorHAnsi" w:hAnsiTheme="minorHAnsi" w:cstheme="minorHAnsi"/>
          <w:bCs/>
          <w:color w:val="auto"/>
          <w:sz w:val="22"/>
          <w:szCs w:val="22"/>
        </w:rPr>
        <w:br/>
      </w:r>
      <w:r>
        <w:rPr>
          <w:rFonts w:asciiTheme="minorHAnsi" w:hAnsiTheme="minorHAnsi" w:cstheme="minorHAnsi"/>
          <w:bCs/>
          <w:color w:val="auto"/>
          <w:sz w:val="22"/>
          <w:szCs w:val="22"/>
        </w:rPr>
        <w:br/>
        <w:t>Journal officiel du 14 mars 2025</w:t>
      </w:r>
      <w:r>
        <w:rPr>
          <w:rFonts w:asciiTheme="minorHAnsi" w:hAnsiTheme="minorHAnsi" w:cstheme="minorHAnsi"/>
          <w:bCs/>
          <w:color w:val="auto"/>
          <w:sz w:val="22"/>
          <w:szCs w:val="22"/>
        </w:rPr>
        <w:br/>
      </w:r>
      <w:r w:rsidRPr="005F4AF5">
        <w:rPr>
          <w:rFonts w:asciiTheme="minorHAnsi" w:hAnsiTheme="minorHAnsi" w:cstheme="minorHAnsi"/>
          <w:bCs/>
          <w:color w:val="auto"/>
          <w:sz w:val="22"/>
          <w:szCs w:val="22"/>
        </w:rPr>
        <w:br/>
      </w:r>
      <w:r w:rsidRPr="005F4AF5">
        <w:rPr>
          <w:rFonts w:asciiTheme="minorHAnsi" w:hAnsiTheme="minorHAnsi" w:cstheme="minorHAnsi"/>
          <w:color w:val="000000"/>
          <w:sz w:val="22"/>
          <w:szCs w:val="22"/>
          <w:shd w:val="clear" w:color="auto" w:fill="FFFFFF"/>
        </w:rPr>
        <w:t>L'entente entre le Gouvernement de la République française et le Gouvernement du Québec en matière de mobilité étudiante au niveau universitaire (ensemble deux annexes), signée à Québec le 12 avril 2024, sera publiée au Journal officiel de la République française.</w:t>
      </w:r>
      <w:bookmarkStart w:id="0" w:name="_GoBack"/>
      <w:bookmarkEnd w:id="0"/>
    </w:p>
    <w:p w:rsidR="00473151" w:rsidRPr="00610DF7" w:rsidRDefault="00473151" w:rsidP="00473151">
      <w:pPr>
        <w:rPr>
          <w:rFonts w:cstheme="minorHAnsi"/>
        </w:rPr>
      </w:pPr>
    </w:p>
    <w:sectPr w:rsidR="00473151" w:rsidRPr="00610DF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6A" w:rsidRDefault="00FB426A" w:rsidP="00943B28">
      <w:pPr>
        <w:spacing w:after="0" w:line="240" w:lineRule="auto"/>
      </w:pPr>
      <w:r>
        <w:separator/>
      </w:r>
    </w:p>
  </w:endnote>
  <w:endnote w:type="continuationSeparator" w:id="0">
    <w:p w:rsidR="00FB426A" w:rsidRDefault="00FB426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5F4AF5">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6A" w:rsidRDefault="00FB426A" w:rsidP="00943B28">
      <w:pPr>
        <w:spacing w:after="0" w:line="240" w:lineRule="auto"/>
      </w:pPr>
      <w:r>
        <w:separator/>
      </w:r>
    </w:p>
  </w:footnote>
  <w:footnote w:type="continuationSeparator" w:id="0">
    <w:p w:rsidR="00FB426A" w:rsidRDefault="00FB426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240EF"/>
    <w:rsid w:val="005256EC"/>
    <w:rsid w:val="00530597"/>
    <w:rsid w:val="005431F6"/>
    <w:rsid w:val="00545BA6"/>
    <w:rsid w:val="00546A8C"/>
    <w:rsid w:val="00571076"/>
    <w:rsid w:val="0058346F"/>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4C92"/>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E8D0"/>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TexteArticle.do?cidTexte=JORFTEXT000051132084&amp;idArticle=JORFARTI000051132092&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13043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1191&amp;idArticle=LEGIARTI000006525182&amp;dateTexte=&amp;categorieLien=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512963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id/JORFTEXT0000513249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8AB0-7C50-4905-A4D4-511BA6D9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2</Pages>
  <Words>407</Words>
  <Characters>2243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457</cp:revision>
  <dcterms:created xsi:type="dcterms:W3CDTF">2021-03-23T13:03:00Z</dcterms:created>
  <dcterms:modified xsi:type="dcterms:W3CDTF">2025-03-14T07:49:00Z</dcterms:modified>
</cp:coreProperties>
</file>