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577BD3">
        <w:rPr>
          <w:b/>
        </w:rPr>
        <w:t>2</w:t>
      </w:r>
      <w:r w:rsidR="00E67445">
        <w:rPr>
          <w:b/>
        </w:rPr>
        <w:t xml:space="preserve"> </w:t>
      </w:r>
      <w:r w:rsidR="00146209">
        <w:rPr>
          <w:b/>
        </w:rPr>
        <w:t xml:space="preserve">du </w:t>
      </w:r>
      <w:r w:rsidR="00577BD3">
        <w:rPr>
          <w:b/>
        </w:rPr>
        <w:t>16</w:t>
      </w:r>
      <w:r w:rsidR="00052F6B">
        <w:rPr>
          <w:b/>
        </w:rPr>
        <w:t xml:space="preserve"> avril</w:t>
      </w:r>
      <w:r w:rsidR="00146209">
        <w:rPr>
          <w:b/>
        </w:rPr>
        <w:t xml:space="preserve"> </w:t>
      </w:r>
      <w:r w:rsidR="00E67445">
        <w:rPr>
          <w:b/>
        </w:rPr>
        <w:t>202</w:t>
      </w:r>
      <w:r w:rsidR="00146209">
        <w:rPr>
          <w:b/>
        </w:rPr>
        <w:t>5</w:t>
      </w:r>
    </w:p>
    <w:p w:rsidR="00E177B8" w:rsidRDefault="00577BD3" w:rsidP="00146209">
      <w:pPr>
        <w:jc w:val="center"/>
        <w:rPr>
          <w:rFonts w:cstheme="minorHAnsi"/>
          <w:b/>
        </w:rPr>
      </w:pPr>
      <w:r w:rsidRPr="00577BD3">
        <w:rPr>
          <w:rFonts w:cstheme="minorHAnsi"/>
          <w:b/>
        </w:rPr>
        <w:t>Education : organisation de la formation au collège et des enseignements dans les classes de collège</w:t>
      </w:r>
      <w:r w:rsidR="006B0FE3">
        <w:rPr>
          <w:rFonts w:cstheme="minorHAnsi"/>
          <w:b/>
        </w:rPr>
        <w:t>, brevet et livret scolaire</w:t>
      </w:r>
      <w:r>
        <w:rPr>
          <w:rFonts w:cstheme="minorHAnsi"/>
          <w:b/>
        </w:rPr>
        <w:br/>
      </w:r>
    </w:p>
    <w:p w:rsidR="00577BD3" w:rsidRPr="00577BD3" w:rsidRDefault="005828BF" w:rsidP="00577BD3">
      <w:pPr>
        <w:pStyle w:val="Titre1"/>
        <w:shd w:val="clear" w:color="auto" w:fill="FFFFFF"/>
        <w:spacing w:before="0" w:after="75"/>
        <w:rPr>
          <w:rFonts w:asciiTheme="minorHAnsi" w:hAnsiTheme="minorHAnsi" w:cstheme="minorHAnsi"/>
          <w:color w:val="auto"/>
          <w:sz w:val="22"/>
          <w:szCs w:val="22"/>
        </w:rPr>
      </w:pPr>
      <w:hyperlink r:id="rId10" w:history="1">
        <w:r w:rsidR="00577BD3" w:rsidRPr="00577BD3">
          <w:rPr>
            <w:rStyle w:val="Lienhypertexte"/>
            <w:rFonts w:asciiTheme="minorHAnsi" w:hAnsiTheme="minorHAnsi" w:cstheme="minorHAnsi"/>
            <w:bCs/>
            <w:sz w:val="22"/>
            <w:szCs w:val="22"/>
          </w:rPr>
          <w:t>Décret n° 2025-315 du 4 avril 2025</w:t>
        </w:r>
      </w:hyperlink>
      <w:r w:rsidR="00577BD3" w:rsidRPr="00577BD3">
        <w:rPr>
          <w:rFonts w:asciiTheme="minorHAnsi" w:hAnsiTheme="minorHAnsi" w:cstheme="minorHAnsi"/>
          <w:bCs/>
          <w:color w:val="auto"/>
          <w:sz w:val="22"/>
          <w:szCs w:val="22"/>
        </w:rPr>
        <w:t xml:space="preserve"> relatif à l'organisation de la formation au collège</w:t>
      </w:r>
    </w:p>
    <w:p w:rsidR="00577BD3" w:rsidRPr="00577BD3" w:rsidRDefault="00577BD3" w:rsidP="00577BD3">
      <w:pPr>
        <w:pStyle w:val="NormalWeb"/>
        <w:shd w:val="clear" w:color="auto" w:fill="FFFFFF"/>
        <w:rPr>
          <w:rFonts w:asciiTheme="minorHAnsi" w:hAnsiTheme="minorHAnsi" w:cstheme="minorHAnsi"/>
          <w:color w:val="000000"/>
          <w:sz w:val="22"/>
          <w:szCs w:val="22"/>
        </w:rPr>
      </w:pPr>
      <w:r w:rsidRPr="00577BD3">
        <w:rPr>
          <w:rFonts w:asciiTheme="minorHAnsi" w:hAnsiTheme="minorHAnsi" w:cstheme="minorHAnsi"/>
          <w:b/>
          <w:sz w:val="22"/>
          <w:szCs w:val="22"/>
        </w:rPr>
        <w:br/>
      </w:r>
      <w:r w:rsidRPr="00577BD3">
        <w:rPr>
          <w:rFonts w:asciiTheme="minorHAnsi" w:hAnsiTheme="minorHAnsi" w:cstheme="minorHAnsi"/>
          <w:sz w:val="22"/>
          <w:szCs w:val="22"/>
        </w:rPr>
        <w:t>Journal officiel du 6 avril 2025</w:t>
      </w:r>
      <w:r>
        <w:rPr>
          <w:rFonts w:cstheme="minorHAnsi"/>
          <w:b/>
        </w:rPr>
        <w:br/>
      </w:r>
      <w:r>
        <w:rPr>
          <w:rFonts w:cstheme="minorHAnsi"/>
          <w:b/>
        </w:rPr>
        <w:br/>
      </w:r>
      <w:r>
        <w:rPr>
          <w:rFonts w:cstheme="minorHAnsi"/>
          <w:color w:val="000000"/>
          <w:shd w:val="clear" w:color="auto" w:fill="FFFFFF"/>
        </w:rPr>
        <w:t>L</w:t>
      </w:r>
      <w:r w:rsidRPr="00577BD3">
        <w:rPr>
          <w:rFonts w:asciiTheme="minorHAnsi" w:hAnsiTheme="minorHAnsi" w:cstheme="minorHAnsi"/>
          <w:color w:val="000000"/>
          <w:sz w:val="22"/>
          <w:szCs w:val="22"/>
          <w:shd w:val="clear" w:color="auto" w:fill="FFFFFF"/>
        </w:rPr>
        <w:t>e décret habilite le ministre chargé de l'éducation nationale à prévoir que les enseignements communs et complémentaires pour les classes de sixième et de cinquième sont dispensés en classe ou groupes selon des règles qu'il détermine à des fins pédagogiques. Les établissements proposent un accompagnement pédagogique adapté aux besoins des élèves des classes de quatrième et de troisième en vue notamment de la préparation du diplôme national du brevet.</w:t>
      </w:r>
      <w:r>
        <w:rPr>
          <w:rFonts w:cstheme="minorHAnsi"/>
          <w:color w:val="000000"/>
          <w:shd w:val="clear" w:color="auto" w:fill="FFFFFF"/>
        </w:rPr>
        <w:br/>
      </w:r>
      <w:r>
        <w:rPr>
          <w:rFonts w:cstheme="minorHAnsi"/>
          <w:color w:val="000000"/>
          <w:shd w:val="clear" w:color="auto" w:fill="FFFFFF"/>
        </w:rPr>
        <w:br/>
      </w:r>
      <w:r>
        <w:rPr>
          <w:rFonts w:cstheme="minorHAnsi"/>
          <w:color w:val="000000"/>
          <w:shd w:val="clear" w:color="auto" w:fill="FFFFFF"/>
        </w:rPr>
        <w:br/>
      </w:r>
      <w:hyperlink r:id="rId11" w:history="1">
        <w:r w:rsidRPr="00577BD3">
          <w:rPr>
            <w:rStyle w:val="Lienhypertexte"/>
            <w:rFonts w:asciiTheme="minorHAnsi" w:hAnsiTheme="minorHAnsi" w:cstheme="minorHAnsi"/>
            <w:bCs/>
            <w:sz w:val="22"/>
            <w:szCs w:val="22"/>
          </w:rPr>
          <w:t>Arrêté du 4 avril 2025 modifiant l'arrêté du 19 mai 2015</w:t>
        </w:r>
      </w:hyperlink>
      <w:r w:rsidRPr="00577BD3">
        <w:rPr>
          <w:rFonts w:asciiTheme="minorHAnsi" w:hAnsiTheme="minorHAnsi" w:cstheme="minorHAnsi"/>
          <w:bCs/>
          <w:sz w:val="22"/>
          <w:szCs w:val="22"/>
        </w:rPr>
        <w:t xml:space="preserve"> relatif à l'organisation des enseignements dans les classes de collège</w:t>
      </w:r>
      <w:r>
        <w:rPr>
          <w:rFonts w:asciiTheme="minorHAnsi" w:hAnsiTheme="minorHAnsi" w:cstheme="minorHAnsi"/>
          <w:bCs/>
          <w:sz w:val="22"/>
          <w:szCs w:val="22"/>
        </w:rPr>
        <w:br/>
      </w:r>
      <w:r>
        <w:rPr>
          <w:rFonts w:asciiTheme="minorHAnsi" w:hAnsiTheme="minorHAnsi" w:cstheme="minorHAnsi"/>
          <w:bCs/>
          <w:sz w:val="22"/>
          <w:szCs w:val="22"/>
        </w:rPr>
        <w:br/>
      </w:r>
      <w:r w:rsidRPr="00577BD3">
        <w:rPr>
          <w:rFonts w:asciiTheme="minorHAnsi" w:hAnsiTheme="minorHAnsi" w:cstheme="minorHAnsi"/>
          <w:sz w:val="22"/>
          <w:szCs w:val="22"/>
        </w:rPr>
        <w:t>Journal officiel du 6 avril 2025</w:t>
      </w:r>
      <w:r>
        <w:rPr>
          <w:rFonts w:asciiTheme="minorHAnsi" w:hAnsiTheme="minorHAnsi" w:cstheme="minorHAnsi"/>
          <w:sz w:val="22"/>
          <w:szCs w:val="22"/>
        </w:rPr>
        <w:br/>
      </w:r>
      <w:r>
        <w:rPr>
          <w:rFonts w:asciiTheme="minorHAnsi" w:hAnsiTheme="minorHAnsi" w:cstheme="minorHAnsi"/>
          <w:sz w:val="22"/>
          <w:szCs w:val="22"/>
        </w:rPr>
        <w:br/>
      </w:r>
      <w:r w:rsidRPr="00577BD3">
        <w:rPr>
          <w:rFonts w:asciiTheme="minorHAnsi" w:hAnsiTheme="minorHAnsi" w:cstheme="minorHAnsi"/>
          <w:color w:val="000000"/>
          <w:sz w:val="22"/>
          <w:szCs w:val="22"/>
        </w:rPr>
        <w:t>L'</w:t>
      </w:r>
      <w:hyperlink r:id="rId12" w:tooltip="ARRÊTÉ du 19 mai 2015 - art. 2" w:history="1">
        <w:r w:rsidRPr="00577BD3">
          <w:rPr>
            <w:rStyle w:val="Lienhypertexte"/>
            <w:rFonts w:asciiTheme="minorHAnsi" w:hAnsiTheme="minorHAnsi" w:cstheme="minorHAnsi"/>
            <w:color w:val="2E3B50"/>
            <w:sz w:val="22"/>
            <w:szCs w:val="22"/>
          </w:rPr>
          <w:t>article 2 de l'arrêté du 19 mai 2015</w:t>
        </w:r>
      </w:hyperlink>
      <w:r w:rsidRPr="00577BD3">
        <w:rPr>
          <w:rFonts w:asciiTheme="minorHAnsi" w:hAnsiTheme="minorHAnsi" w:cstheme="minorHAnsi"/>
          <w:color w:val="000000"/>
          <w:sz w:val="22"/>
          <w:szCs w:val="22"/>
        </w:rPr>
        <w:t> susvisé est remplacé par un article ainsi rédigé :</w:t>
      </w:r>
    </w:p>
    <w:p w:rsidR="00577BD3" w:rsidRPr="00577BD3" w:rsidRDefault="00577BD3" w:rsidP="00577BD3">
      <w:pPr>
        <w:pStyle w:val="NormalWeb"/>
        <w:shd w:val="clear" w:color="auto" w:fill="FFFFFF"/>
        <w:rPr>
          <w:rFonts w:asciiTheme="minorHAnsi" w:hAnsiTheme="minorHAnsi" w:cstheme="minorHAnsi"/>
          <w:color w:val="000000"/>
          <w:sz w:val="22"/>
          <w:szCs w:val="22"/>
        </w:rPr>
      </w:pPr>
      <w:r w:rsidRPr="00577BD3">
        <w:rPr>
          <w:rFonts w:asciiTheme="minorHAnsi" w:hAnsiTheme="minorHAnsi" w:cstheme="minorHAnsi"/>
          <w:color w:val="000000"/>
          <w:sz w:val="22"/>
          <w:szCs w:val="22"/>
        </w:rPr>
        <w:t>« Art. 2. - Des heures de soutien supplémentaires consacrées à la maîtrise des savoirs fondamentaux peuvent être proposées aux élèves dont les besoins ont été identifiés conformément aux dispositions des </w:t>
      </w:r>
      <w:hyperlink r:id="rId13" w:tooltip="Code de l'éducation - art. D311-12" w:history="1">
        <w:r w:rsidRPr="00577BD3">
          <w:rPr>
            <w:rStyle w:val="Lienhypertexte"/>
            <w:rFonts w:asciiTheme="minorHAnsi" w:hAnsiTheme="minorHAnsi" w:cstheme="minorHAnsi"/>
            <w:color w:val="4A5E81"/>
            <w:sz w:val="22"/>
            <w:szCs w:val="22"/>
          </w:rPr>
          <w:t>articles D. 311-12</w:t>
        </w:r>
      </w:hyperlink>
      <w:r w:rsidRPr="00577BD3">
        <w:rPr>
          <w:rFonts w:asciiTheme="minorHAnsi" w:hAnsiTheme="minorHAnsi" w:cstheme="minorHAnsi"/>
          <w:color w:val="000000"/>
          <w:sz w:val="22"/>
          <w:szCs w:val="22"/>
        </w:rPr>
        <w:t> et </w:t>
      </w:r>
      <w:hyperlink r:id="rId14" w:tooltip="Code de l'éducation - art. D332-6" w:history="1">
        <w:r w:rsidRPr="00577BD3">
          <w:rPr>
            <w:rStyle w:val="Lienhypertexte"/>
            <w:rFonts w:asciiTheme="minorHAnsi" w:hAnsiTheme="minorHAnsi" w:cstheme="minorHAnsi"/>
            <w:color w:val="4A5E81"/>
            <w:sz w:val="22"/>
            <w:szCs w:val="22"/>
          </w:rPr>
          <w:t>D. 332-6 du code de l'éducation</w:t>
        </w:r>
      </w:hyperlink>
      <w:r w:rsidRPr="00577BD3">
        <w:rPr>
          <w:rFonts w:asciiTheme="minorHAnsi" w:hAnsiTheme="minorHAnsi" w:cstheme="minorHAnsi"/>
          <w:color w:val="000000"/>
          <w:sz w:val="22"/>
          <w:szCs w:val="22"/>
        </w:rPr>
        <w:t>, dans la limite de deux heures hebdomadaires. »</w:t>
      </w:r>
    </w:p>
    <w:p w:rsidR="006B0FE3" w:rsidRDefault="006B0FE3">
      <w:pPr>
        <w:spacing w:after="160" w:line="259" w:lineRule="auto"/>
        <w:rPr>
          <w:rFonts w:eastAsiaTheme="majorEastAsia" w:cstheme="minorHAnsi"/>
        </w:rPr>
      </w:pPr>
      <w:r>
        <w:rPr>
          <w:rFonts w:cstheme="minorHAnsi"/>
        </w:rPr>
        <w:br w:type="page"/>
      </w:r>
    </w:p>
    <w:p w:rsidR="006B0FE3" w:rsidRPr="006B0FE3" w:rsidRDefault="006B0FE3" w:rsidP="006B0FE3">
      <w:pPr>
        <w:pStyle w:val="Titre1"/>
        <w:shd w:val="clear" w:color="auto" w:fill="FFFFFF"/>
        <w:spacing w:before="0" w:after="75"/>
        <w:rPr>
          <w:rFonts w:asciiTheme="minorHAnsi" w:hAnsiTheme="minorHAnsi" w:cstheme="minorHAnsi"/>
          <w:color w:val="auto"/>
          <w:sz w:val="22"/>
          <w:szCs w:val="22"/>
        </w:rPr>
      </w:pPr>
      <w:hyperlink r:id="rId15" w:history="1">
        <w:r w:rsidRPr="006B0FE3">
          <w:rPr>
            <w:rStyle w:val="Lienhypertexte"/>
            <w:rFonts w:asciiTheme="minorHAnsi" w:hAnsiTheme="minorHAnsi" w:cstheme="minorHAnsi"/>
            <w:bCs/>
            <w:sz w:val="22"/>
            <w:szCs w:val="22"/>
          </w:rPr>
          <w:t>Décret n° 2025-328 du 10 avril 2025</w:t>
        </w:r>
      </w:hyperlink>
      <w:r w:rsidRPr="006B0FE3">
        <w:rPr>
          <w:rFonts w:asciiTheme="minorHAnsi" w:hAnsiTheme="minorHAnsi" w:cstheme="minorHAnsi"/>
          <w:bCs/>
          <w:color w:val="auto"/>
          <w:sz w:val="22"/>
          <w:szCs w:val="22"/>
        </w:rPr>
        <w:t xml:space="preserve"> relatif aux modalités de délivrance du diplôme national du brevet</w:t>
      </w:r>
    </w:p>
    <w:p w:rsidR="00577BD3" w:rsidRDefault="006B0FE3" w:rsidP="00577BD3">
      <w:pPr>
        <w:pStyle w:val="Titre1"/>
        <w:shd w:val="clear" w:color="auto" w:fill="FFFFFF"/>
        <w:spacing w:before="0" w:after="75"/>
        <w:rPr>
          <w:rFonts w:asciiTheme="minorHAnsi" w:hAnsiTheme="minorHAnsi" w:cstheme="minorHAnsi"/>
          <w:color w:val="auto"/>
          <w:sz w:val="22"/>
          <w:szCs w:val="22"/>
        </w:rPr>
      </w:pPr>
      <w:r>
        <w:rPr>
          <w:rFonts w:asciiTheme="minorHAnsi" w:hAnsiTheme="minorHAnsi" w:cstheme="minorHAnsi"/>
          <w:color w:val="auto"/>
          <w:sz w:val="22"/>
          <w:szCs w:val="22"/>
        </w:rPr>
        <w:br/>
        <w:t>Journal officiel du 12 avril 2025</w:t>
      </w:r>
    </w:p>
    <w:p w:rsidR="006B0FE3" w:rsidRPr="006B0FE3" w:rsidRDefault="006B0FE3" w:rsidP="006B0FE3">
      <w:pPr>
        <w:pStyle w:val="Titre1"/>
        <w:shd w:val="clear" w:color="auto" w:fill="FFFFFF"/>
        <w:spacing w:before="0" w:after="75"/>
        <w:rPr>
          <w:rFonts w:asciiTheme="minorHAnsi" w:hAnsiTheme="minorHAnsi" w:cstheme="minorHAnsi"/>
          <w:color w:val="auto"/>
          <w:sz w:val="22"/>
          <w:szCs w:val="22"/>
        </w:rPr>
      </w:pPr>
      <w:r>
        <w:br/>
      </w:r>
      <w:r w:rsidRPr="006B0FE3">
        <w:rPr>
          <w:rFonts w:asciiTheme="minorHAnsi" w:hAnsiTheme="minorHAnsi" w:cstheme="minorHAnsi"/>
          <w:color w:val="000000"/>
          <w:sz w:val="22"/>
          <w:szCs w:val="22"/>
          <w:shd w:val="clear" w:color="auto" w:fill="FFFFFF"/>
        </w:rPr>
        <w:t>L</w:t>
      </w:r>
      <w:r w:rsidRPr="006B0FE3">
        <w:rPr>
          <w:rFonts w:asciiTheme="minorHAnsi" w:hAnsiTheme="minorHAnsi" w:cstheme="minorHAnsi"/>
          <w:color w:val="000000"/>
          <w:sz w:val="22"/>
          <w:szCs w:val="22"/>
          <w:shd w:val="clear" w:color="auto" w:fill="FFFFFF"/>
        </w:rPr>
        <w:t>e décret modifie les conditions d'obtention du diplôme national du brevet dont le contrôle continu se fonde désormais sur les notes obtenues dans l'ensemble des enseignements obligatoires de la classe de troisième. Il précise également les modalités d'harmonisation des notes du contrôle continu.</w:t>
      </w:r>
      <w:r>
        <w:rPr>
          <w:rFonts w:cstheme="minorHAnsi"/>
          <w:color w:val="000000"/>
          <w:shd w:val="clear" w:color="auto" w:fill="FFFFFF"/>
        </w:rPr>
        <w:br/>
      </w:r>
      <w:r>
        <w:rPr>
          <w:rFonts w:cstheme="minorHAnsi"/>
          <w:color w:val="000000"/>
          <w:shd w:val="clear" w:color="auto" w:fill="FFFFFF"/>
        </w:rPr>
        <w:br/>
      </w:r>
      <w:hyperlink r:id="rId16" w:history="1">
        <w:r w:rsidRPr="006B0FE3">
          <w:rPr>
            <w:rStyle w:val="Lienhypertexte"/>
            <w:rFonts w:asciiTheme="minorHAnsi" w:hAnsiTheme="minorHAnsi" w:cstheme="minorHAnsi"/>
            <w:bCs/>
            <w:sz w:val="22"/>
            <w:szCs w:val="22"/>
          </w:rPr>
          <w:t>Arrêté du 10 avril 2025 modifiant l'arrêté du 31 décembre 2015</w:t>
        </w:r>
      </w:hyperlink>
      <w:r w:rsidRPr="006B0FE3">
        <w:rPr>
          <w:rFonts w:asciiTheme="minorHAnsi" w:hAnsiTheme="minorHAnsi" w:cstheme="minorHAnsi"/>
          <w:bCs/>
          <w:color w:val="auto"/>
          <w:sz w:val="22"/>
          <w:szCs w:val="22"/>
        </w:rPr>
        <w:t xml:space="preserve"> relatif aux modalités d'attribution du diplôme national du brevet</w:t>
      </w:r>
    </w:p>
    <w:p w:rsidR="006B0FE3" w:rsidRPr="006B0FE3" w:rsidRDefault="006B0FE3" w:rsidP="006B0FE3">
      <w:pPr>
        <w:rPr>
          <w:rFonts w:cstheme="minorHAnsi"/>
        </w:rPr>
      </w:pPr>
      <w:r>
        <w:rPr>
          <w:rFonts w:cstheme="minorHAnsi"/>
        </w:rPr>
        <w:br/>
      </w:r>
      <w:r>
        <w:rPr>
          <w:rFonts w:cstheme="minorHAnsi"/>
        </w:rPr>
        <w:t>Journal officiel du 12 avril 2025</w:t>
      </w:r>
      <w:r>
        <w:rPr>
          <w:rFonts w:cstheme="minorHAnsi"/>
        </w:rPr>
        <w:br/>
      </w:r>
      <w:r>
        <w:rPr>
          <w:rFonts w:cstheme="minorHAnsi"/>
        </w:rPr>
        <w:br/>
      </w:r>
      <w:r w:rsidRPr="006B0FE3">
        <w:rPr>
          <w:rFonts w:cstheme="minorHAnsi"/>
          <w:color w:val="000000"/>
          <w:shd w:val="clear" w:color="auto" w:fill="FFFFFF"/>
        </w:rPr>
        <w:t>L'</w:t>
      </w:r>
      <w:hyperlink r:id="rId17" w:tooltip="Arrêté du 31 décembre 2015 - art. 5" w:history="1">
        <w:r w:rsidRPr="006B0FE3">
          <w:rPr>
            <w:rStyle w:val="Lienhypertexte"/>
            <w:rFonts w:cstheme="minorHAnsi"/>
            <w:color w:val="4A5E81"/>
            <w:shd w:val="clear" w:color="auto" w:fill="FFFFFF"/>
          </w:rPr>
          <w:t>article 5 de l'arrêté du 31 décembre 2015</w:t>
        </w:r>
      </w:hyperlink>
      <w:r w:rsidRPr="006B0FE3">
        <w:rPr>
          <w:rFonts w:cstheme="minorHAnsi"/>
          <w:color w:val="000000"/>
          <w:shd w:val="clear" w:color="auto" w:fill="FFFFFF"/>
        </w:rPr>
        <w:t> susvisé est ainsi modifié :</w:t>
      </w:r>
      <w:r w:rsidRPr="006B0FE3">
        <w:rPr>
          <w:rFonts w:cstheme="minorHAnsi"/>
          <w:color w:val="000000"/>
        </w:rPr>
        <w:br/>
      </w:r>
      <w:r w:rsidRPr="006B0FE3">
        <w:rPr>
          <w:rFonts w:cstheme="minorHAnsi"/>
          <w:color w:val="000000"/>
          <w:shd w:val="clear" w:color="auto" w:fill="FFFFFF"/>
        </w:rPr>
        <w:t>1° Au premier alinéa, après les mots : « diplôme national du brevet », sont insérés les mots : « , en référence au socle commun de connaissances, de compétences et de culture » ;</w:t>
      </w:r>
      <w:r w:rsidRPr="006B0FE3">
        <w:rPr>
          <w:rFonts w:cstheme="minorHAnsi"/>
          <w:color w:val="000000"/>
        </w:rPr>
        <w:br/>
      </w:r>
      <w:r w:rsidRPr="006B0FE3">
        <w:rPr>
          <w:rFonts w:cstheme="minorHAnsi"/>
          <w:color w:val="000000"/>
          <w:shd w:val="clear" w:color="auto" w:fill="FFFFFF"/>
        </w:rPr>
        <w:t>2° Le a est remplacé par les dispositions suivantes :</w:t>
      </w:r>
      <w:r w:rsidRPr="006B0FE3">
        <w:rPr>
          <w:rFonts w:cstheme="minorHAnsi"/>
          <w:color w:val="000000"/>
        </w:rPr>
        <w:br/>
      </w:r>
      <w:r w:rsidRPr="006B0FE3">
        <w:rPr>
          <w:rFonts w:cstheme="minorHAnsi"/>
          <w:color w:val="000000"/>
          <w:shd w:val="clear" w:color="auto" w:fill="FFFFFF"/>
        </w:rPr>
        <w:t>« a) La moyenne des moyennes annuelles de l'ensemble des enseignements obligatoires suivis par les élèves en classe de troisième ; »</w:t>
      </w:r>
      <w:r w:rsidRPr="006B0FE3">
        <w:rPr>
          <w:rFonts w:cstheme="minorHAnsi"/>
          <w:color w:val="000000"/>
        </w:rPr>
        <w:br/>
      </w:r>
      <w:r w:rsidRPr="006B0FE3">
        <w:rPr>
          <w:rFonts w:cstheme="minorHAnsi"/>
          <w:color w:val="000000"/>
          <w:shd w:val="clear" w:color="auto" w:fill="FFFFFF"/>
        </w:rPr>
        <w:t>3° Le b est remplacé par les dispositions suivantes :</w:t>
      </w:r>
      <w:r w:rsidRPr="006B0FE3">
        <w:rPr>
          <w:rFonts w:cstheme="minorHAnsi"/>
          <w:color w:val="000000"/>
        </w:rPr>
        <w:br/>
      </w:r>
      <w:r w:rsidRPr="006B0FE3">
        <w:rPr>
          <w:rFonts w:cstheme="minorHAnsi"/>
          <w:color w:val="000000"/>
          <w:shd w:val="clear" w:color="auto" w:fill="FFFFFF"/>
        </w:rPr>
        <w:t>« b) La moyenne des notes obtenues aux épreuves de l'examen du brevet, compte tenu des coefficients affectés à ces épreuves. »</w:t>
      </w:r>
    </w:p>
    <w:p w:rsidR="006B0FE3" w:rsidRPr="006B0FE3" w:rsidRDefault="006B0FE3" w:rsidP="006B0FE3">
      <w:pPr>
        <w:pStyle w:val="Titre1"/>
        <w:shd w:val="clear" w:color="auto" w:fill="FFFFFF"/>
        <w:spacing w:before="0" w:after="75"/>
        <w:rPr>
          <w:rFonts w:asciiTheme="minorHAnsi" w:hAnsiTheme="minorHAnsi" w:cstheme="minorHAnsi"/>
          <w:color w:val="4A5E81"/>
          <w:sz w:val="22"/>
          <w:szCs w:val="22"/>
        </w:rPr>
      </w:pPr>
      <w:r>
        <w:br/>
      </w:r>
      <w:hyperlink r:id="rId18" w:history="1">
        <w:r w:rsidRPr="006B0FE3">
          <w:rPr>
            <w:rStyle w:val="Lienhypertexte"/>
            <w:rFonts w:asciiTheme="minorHAnsi" w:hAnsiTheme="minorHAnsi" w:cstheme="minorHAnsi"/>
            <w:bCs/>
            <w:sz w:val="22"/>
            <w:szCs w:val="22"/>
          </w:rPr>
          <w:t>Arrêté du 10 avril 2025 modifiant l'arrêté du 31 décembre 2015</w:t>
        </w:r>
      </w:hyperlink>
      <w:r w:rsidRPr="006B0FE3">
        <w:rPr>
          <w:rFonts w:asciiTheme="minorHAnsi" w:hAnsiTheme="minorHAnsi" w:cstheme="minorHAnsi"/>
          <w:bCs/>
          <w:color w:val="auto"/>
          <w:sz w:val="22"/>
          <w:szCs w:val="22"/>
        </w:rPr>
        <w:t xml:space="preserve"> fixant le contenu du livret scolaire de l'école élémentaire et du collège</w:t>
      </w:r>
    </w:p>
    <w:p w:rsidR="006B0FE3" w:rsidRPr="006B0FE3" w:rsidRDefault="006B0FE3" w:rsidP="006B0FE3">
      <w:pPr>
        <w:pStyle w:val="NormalWeb"/>
        <w:shd w:val="clear" w:color="auto" w:fill="FFFFFF"/>
        <w:rPr>
          <w:rFonts w:asciiTheme="minorHAnsi" w:hAnsiTheme="minorHAnsi" w:cstheme="minorHAnsi"/>
          <w:color w:val="000000"/>
          <w:sz w:val="22"/>
          <w:szCs w:val="22"/>
        </w:rPr>
      </w:pPr>
      <w:r>
        <w:br/>
      </w:r>
      <w:r w:rsidRPr="006B0FE3">
        <w:rPr>
          <w:rFonts w:asciiTheme="minorHAnsi" w:hAnsiTheme="minorHAnsi" w:cstheme="minorHAnsi"/>
          <w:sz w:val="22"/>
          <w:szCs w:val="22"/>
        </w:rPr>
        <w:t>Journal officiel du 12 avril 2025</w:t>
      </w:r>
      <w:r>
        <w:br/>
      </w:r>
      <w:r>
        <w:br/>
      </w:r>
      <w:r w:rsidRPr="006B0FE3">
        <w:rPr>
          <w:rFonts w:asciiTheme="minorHAnsi" w:hAnsiTheme="minorHAnsi" w:cstheme="minorHAnsi"/>
          <w:color w:val="000000"/>
          <w:sz w:val="22"/>
          <w:szCs w:val="22"/>
        </w:rPr>
        <w:t>L'annexe </w:t>
      </w:r>
      <w:hyperlink r:id="rId19" w:tooltip="Arrêté du 31 décembre 2015 - art. Annexe III" w:history="1">
        <w:r w:rsidRPr="006B0FE3">
          <w:rPr>
            <w:rStyle w:val="Lienhypertexte"/>
            <w:rFonts w:asciiTheme="minorHAnsi" w:hAnsiTheme="minorHAnsi" w:cstheme="minorHAnsi"/>
            <w:color w:val="4A5E81"/>
            <w:sz w:val="22"/>
            <w:szCs w:val="22"/>
          </w:rPr>
          <w:t>III du même arrêté</w:t>
        </w:r>
      </w:hyperlink>
      <w:r w:rsidRPr="006B0FE3">
        <w:rPr>
          <w:rFonts w:asciiTheme="minorHAnsi" w:hAnsiTheme="minorHAnsi" w:cstheme="minorHAnsi"/>
          <w:color w:val="000000"/>
          <w:sz w:val="22"/>
          <w:szCs w:val="22"/>
        </w:rPr>
        <w:t> est ainsi modifiée :</w:t>
      </w:r>
      <w:r w:rsidRPr="006B0FE3">
        <w:rPr>
          <w:rFonts w:asciiTheme="minorHAnsi" w:hAnsiTheme="minorHAnsi" w:cstheme="minorHAnsi"/>
          <w:color w:val="000000"/>
          <w:sz w:val="22"/>
          <w:szCs w:val="22"/>
        </w:rPr>
        <w:br/>
        <w:t>1° Le 2 est remplacé par les dispositions suivantes :</w:t>
      </w:r>
      <w:r w:rsidRPr="006B0FE3">
        <w:rPr>
          <w:rFonts w:asciiTheme="minorHAnsi" w:hAnsiTheme="minorHAnsi" w:cstheme="minorHAnsi"/>
          <w:color w:val="000000"/>
          <w:sz w:val="22"/>
          <w:szCs w:val="22"/>
        </w:rPr>
        <w:br/>
        <w:t>« 2. Un suivi des acquis scolaires de l'élève qui mentionne, pour chaque enseignement du volet 3 de l'annexe 3 de l'arrêté du 9 novembre 2015 susvisé (programmes du cycle 4) et, le cas échéant, chaque enseignement facultatif mentionné à l'</w:t>
      </w:r>
      <w:hyperlink r:id="rId20" w:tooltip="ARRÊTÉ du 19 mai 2015 - art. 7" w:history="1">
        <w:r w:rsidRPr="006B0FE3">
          <w:rPr>
            <w:rStyle w:val="Lienhypertexte"/>
            <w:rFonts w:asciiTheme="minorHAnsi" w:hAnsiTheme="minorHAnsi" w:cstheme="minorHAnsi"/>
            <w:color w:val="4A5E81"/>
            <w:sz w:val="22"/>
            <w:szCs w:val="22"/>
          </w:rPr>
          <w:t>article 7 de l'arrêté du 19 mai 2015</w:t>
        </w:r>
      </w:hyperlink>
      <w:r w:rsidRPr="006B0FE3">
        <w:rPr>
          <w:rFonts w:asciiTheme="minorHAnsi" w:hAnsiTheme="minorHAnsi" w:cstheme="minorHAnsi"/>
          <w:color w:val="000000"/>
          <w:sz w:val="22"/>
          <w:szCs w:val="22"/>
        </w:rPr>
        <w:t> relatif à l'organisation des enseignements dans les classes de collège :</w:t>
      </w:r>
    </w:p>
    <w:p w:rsidR="006B0FE3" w:rsidRDefault="006B0FE3">
      <w:pPr>
        <w:spacing w:after="160" w:line="259" w:lineRule="auto"/>
        <w:rPr>
          <w:rFonts w:eastAsia="Times New Roman" w:cstheme="minorHAnsi"/>
          <w:color w:val="000000"/>
          <w:lang w:eastAsia="fr-FR"/>
        </w:rPr>
      </w:pPr>
      <w:r>
        <w:rPr>
          <w:rFonts w:cstheme="minorHAnsi"/>
          <w:color w:val="000000"/>
        </w:rPr>
        <w:br w:type="page"/>
      </w:r>
    </w:p>
    <w:p w:rsidR="006B0FE3" w:rsidRPr="006B0FE3" w:rsidRDefault="006B0FE3" w:rsidP="006B0FE3">
      <w:pPr>
        <w:pStyle w:val="NormalWeb"/>
        <w:shd w:val="clear" w:color="auto" w:fill="FFFFFF"/>
        <w:rPr>
          <w:rFonts w:asciiTheme="minorHAnsi" w:hAnsiTheme="minorHAnsi" w:cstheme="minorHAnsi"/>
          <w:color w:val="000000"/>
          <w:sz w:val="22"/>
          <w:szCs w:val="22"/>
        </w:rPr>
      </w:pPr>
      <w:bookmarkStart w:id="0" w:name="_GoBack"/>
      <w:bookmarkEnd w:id="0"/>
      <w:r w:rsidRPr="006B0FE3">
        <w:rPr>
          <w:rFonts w:asciiTheme="minorHAnsi" w:hAnsiTheme="minorHAnsi" w:cstheme="minorHAnsi"/>
          <w:color w:val="000000"/>
          <w:sz w:val="22"/>
          <w:szCs w:val="22"/>
        </w:rPr>
        <w:lastRenderedPageBreak/>
        <w:t>« - les principaux éléments du programme du cycle travaillés durant la période ;</w:t>
      </w:r>
      <w:r w:rsidRPr="006B0FE3">
        <w:rPr>
          <w:rFonts w:asciiTheme="minorHAnsi" w:hAnsiTheme="minorHAnsi" w:cstheme="minorHAnsi"/>
          <w:color w:val="000000"/>
          <w:sz w:val="22"/>
          <w:szCs w:val="22"/>
        </w:rPr>
        <w:br/>
        <w:t>« - les acquisitions, progrès et difficultés éventuelles de l'élève ;</w:t>
      </w:r>
      <w:r w:rsidRPr="006B0FE3">
        <w:rPr>
          <w:rFonts w:asciiTheme="minorHAnsi" w:hAnsiTheme="minorHAnsi" w:cstheme="minorHAnsi"/>
          <w:color w:val="000000"/>
          <w:sz w:val="22"/>
          <w:szCs w:val="22"/>
        </w:rPr>
        <w:br/>
        <w:t>« - en classes de cinquième et de quatrième, la note de l'élève ou tout autre positionnement de l'élève au regard des objectifs d'apprentissage fixés pour la période ;</w:t>
      </w:r>
      <w:r w:rsidRPr="006B0FE3">
        <w:rPr>
          <w:rFonts w:asciiTheme="minorHAnsi" w:hAnsiTheme="minorHAnsi" w:cstheme="minorHAnsi"/>
          <w:color w:val="000000"/>
          <w:sz w:val="22"/>
          <w:szCs w:val="22"/>
        </w:rPr>
        <w:br/>
        <w:t>« - en classe de troisième, la note de l'élève. » ;</w:t>
      </w:r>
    </w:p>
    <w:p w:rsidR="006B0FE3" w:rsidRPr="006B0FE3" w:rsidRDefault="006B0FE3" w:rsidP="006B0FE3">
      <w:pPr>
        <w:pStyle w:val="NormalWeb"/>
        <w:shd w:val="clear" w:color="auto" w:fill="FFFFFF"/>
        <w:rPr>
          <w:rFonts w:asciiTheme="minorHAnsi" w:hAnsiTheme="minorHAnsi" w:cstheme="minorHAnsi"/>
          <w:color w:val="000000"/>
          <w:sz w:val="22"/>
          <w:szCs w:val="22"/>
        </w:rPr>
      </w:pPr>
      <w:r w:rsidRPr="006B0FE3">
        <w:rPr>
          <w:rFonts w:asciiTheme="minorHAnsi" w:hAnsiTheme="minorHAnsi" w:cstheme="minorHAnsi"/>
          <w:color w:val="000000"/>
          <w:sz w:val="22"/>
          <w:szCs w:val="22"/>
        </w:rPr>
        <w:t>2° Le 3 et le 7 sont supprimés ;</w:t>
      </w:r>
      <w:r w:rsidRPr="006B0FE3">
        <w:rPr>
          <w:rFonts w:asciiTheme="minorHAnsi" w:hAnsiTheme="minorHAnsi" w:cstheme="minorHAnsi"/>
          <w:color w:val="000000"/>
          <w:sz w:val="22"/>
          <w:szCs w:val="22"/>
        </w:rPr>
        <w:br/>
        <w:t>3° Au 5, après les mots : « parcours d'éducation artistique et culturelle, », sont insérés les mots : « du parcours éducatif de santé, ».</w:t>
      </w:r>
    </w:p>
    <w:p w:rsidR="006B0FE3" w:rsidRDefault="006B0FE3" w:rsidP="006B0FE3"/>
    <w:p w:rsidR="006B0FE3" w:rsidRDefault="006B0FE3" w:rsidP="006B0FE3"/>
    <w:p w:rsidR="006B0FE3" w:rsidRDefault="006B0FE3" w:rsidP="006B0FE3"/>
    <w:p w:rsidR="006B0FE3" w:rsidRPr="006B0FE3" w:rsidRDefault="006B0FE3" w:rsidP="006B0FE3"/>
    <w:p w:rsidR="00577BD3" w:rsidRDefault="00577BD3" w:rsidP="00577BD3">
      <w:pPr>
        <w:rPr>
          <w:rFonts w:cstheme="minorHAnsi"/>
          <w:b/>
        </w:rPr>
      </w:pPr>
    </w:p>
    <w:sectPr w:rsidR="00577BD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BF" w:rsidRDefault="005828BF" w:rsidP="00943B28">
      <w:pPr>
        <w:spacing w:after="0" w:line="240" w:lineRule="auto"/>
      </w:pPr>
      <w:r>
        <w:separator/>
      </w:r>
    </w:p>
  </w:endnote>
  <w:endnote w:type="continuationSeparator" w:id="0">
    <w:p w:rsidR="005828BF" w:rsidRDefault="005828BF"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6B0FE3">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BF" w:rsidRDefault="005828BF" w:rsidP="00943B28">
      <w:pPr>
        <w:spacing w:after="0" w:line="240" w:lineRule="auto"/>
      </w:pPr>
      <w:r>
        <w:separator/>
      </w:r>
    </w:p>
  </w:footnote>
  <w:footnote w:type="continuationSeparator" w:id="0">
    <w:p w:rsidR="005828BF" w:rsidRDefault="005828BF"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3"/>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0212"/>
    <w:rsid w:val="004E4224"/>
    <w:rsid w:val="004E4229"/>
    <w:rsid w:val="004F13E7"/>
    <w:rsid w:val="0052310B"/>
    <w:rsid w:val="005240EF"/>
    <w:rsid w:val="005256EC"/>
    <w:rsid w:val="00530597"/>
    <w:rsid w:val="005431F6"/>
    <w:rsid w:val="00545BA6"/>
    <w:rsid w:val="00546A8C"/>
    <w:rsid w:val="00571076"/>
    <w:rsid w:val="00577BD3"/>
    <w:rsid w:val="005828BF"/>
    <w:rsid w:val="0058346F"/>
    <w:rsid w:val="0059701E"/>
    <w:rsid w:val="005A246C"/>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3A6A"/>
    <w:rsid w:val="00714C03"/>
    <w:rsid w:val="00714C92"/>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3912"/>
    <w:rsid w:val="00E156F2"/>
    <w:rsid w:val="00E15CAF"/>
    <w:rsid w:val="00E177B8"/>
    <w:rsid w:val="00E17983"/>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0572"/>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1191&amp;idArticle=LEGIARTI000029781085&amp;dateTexte=&amp;categorieLien=cid" TargetMode="External"/><Relationship Id="rId18" Type="http://schemas.openxmlformats.org/officeDocument/2006/relationships/hyperlink" Target="https://www.legifrance.gouv.fr/jorf/id/JORFTEXT00005145191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france.gouv.fr/affichTexteArticle.do?cidTexte=JORFTEXT000030613339&amp;idArticle=JORFARTI000030613342&amp;categorieLien=cid" TargetMode="External"/><Relationship Id="rId17" Type="http://schemas.openxmlformats.org/officeDocument/2006/relationships/hyperlink" Target="https://www.legifrance.gouv.fr/affichTexteArticle.do?cidTexte=JORFTEXT000031742288&amp;idArticle=JORFARTI000031742293&amp;categorieLien=cid" TargetMode="External"/><Relationship Id="rId2" Type="http://schemas.openxmlformats.org/officeDocument/2006/relationships/numbering" Target="numbering.xml"/><Relationship Id="rId16" Type="http://schemas.openxmlformats.org/officeDocument/2006/relationships/hyperlink" Target="https://www.legifrance.gouv.fr/jorf/id/JORFTEXT000051451951" TargetMode="External"/><Relationship Id="rId20" Type="http://schemas.openxmlformats.org/officeDocument/2006/relationships/hyperlink" Target="https://www.legifrance.gouv.fr/affichTexteArticle.do?cidTexte=JORFTEXT000030613339&amp;idArticle=JORFARTI000030613347&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1429865" TargetMode="External"/><Relationship Id="rId5" Type="http://schemas.openxmlformats.org/officeDocument/2006/relationships/webSettings" Target="webSettings.xml"/><Relationship Id="rId15" Type="http://schemas.openxmlformats.org/officeDocument/2006/relationships/hyperlink" Target="https://www.legifrance.gouv.fr/jorf/id/JORFTEXT000051451798" TargetMode="External"/><Relationship Id="rId23" Type="http://schemas.openxmlformats.org/officeDocument/2006/relationships/theme" Target="theme/theme1.xml"/><Relationship Id="rId10" Type="http://schemas.openxmlformats.org/officeDocument/2006/relationships/hyperlink" Target="https://www.legifrance.gouv.fr/jorf/id/JORFTEXT000051429850" TargetMode="External"/><Relationship Id="rId19" Type="http://schemas.openxmlformats.org/officeDocument/2006/relationships/hyperlink" Target="https://www.legifrance.gouv.fr/affichTexteArticle.do?cidTexte=JORFTEXT000031742317&amp;idArticle=JORFARTI000031742333&amp;categorieLien=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Article.do?cidTexte=LEGITEXT000006071191&amp;idArticle=LEGIARTI000006527062&amp;dateTexte=&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2E5C-DF95-45D1-818E-F03FB370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3</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466</cp:revision>
  <dcterms:created xsi:type="dcterms:W3CDTF">2021-03-23T13:03:00Z</dcterms:created>
  <dcterms:modified xsi:type="dcterms:W3CDTF">2025-04-14T06:56:00Z</dcterms:modified>
</cp:coreProperties>
</file>